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958FC">
      <w:pPr>
        <w:jc w:val="center"/>
        <w:rPr>
          <w:sz w:val="36"/>
          <w:szCs w:val="36"/>
        </w:rPr>
      </w:pPr>
    </w:p>
    <w:p w14:paraId="59A8AD86">
      <w:pPr>
        <w:jc w:val="center"/>
        <w:rPr>
          <w:sz w:val="36"/>
          <w:szCs w:val="36"/>
        </w:rPr>
      </w:pPr>
    </w:p>
    <w:p w14:paraId="3A608F39">
      <w:pPr>
        <w:rPr>
          <w:sz w:val="36"/>
          <w:szCs w:val="36"/>
        </w:rPr>
      </w:pPr>
    </w:p>
    <w:p w14:paraId="7D3EBFA2">
      <w:pPr>
        <w:jc w:val="center"/>
        <w:rPr>
          <w:rFonts w:eastAsia="仿宋"/>
          <w:sz w:val="44"/>
          <w:szCs w:val="44"/>
        </w:rPr>
      </w:pPr>
      <w:r>
        <w:rPr>
          <w:rFonts w:eastAsia="仿宋"/>
          <w:sz w:val="32"/>
          <w:szCs w:val="32"/>
        </w:rPr>
        <w:t>营供字〔202</w:t>
      </w:r>
      <w:r>
        <w:rPr>
          <w:rFonts w:hint="eastAsia" w:eastAsia="仿宋"/>
          <w:sz w:val="32"/>
          <w:szCs w:val="32"/>
          <w:lang w:val="en-US" w:eastAsia="zh-CN"/>
        </w:rPr>
        <w:t>6</w:t>
      </w:r>
      <w:r>
        <w:rPr>
          <w:rFonts w:eastAsia="仿宋"/>
          <w:sz w:val="32"/>
          <w:szCs w:val="32"/>
        </w:rPr>
        <w:t>〕</w:t>
      </w:r>
      <w:r>
        <w:rPr>
          <w:rFonts w:hint="eastAsia" w:eastAsia="仿宋"/>
          <w:sz w:val="32"/>
          <w:szCs w:val="32"/>
          <w:lang w:val="en-US" w:eastAsia="zh-CN"/>
        </w:rPr>
        <w:t>1</w:t>
      </w:r>
      <w:r>
        <w:rPr>
          <w:rFonts w:eastAsia="仿宋"/>
          <w:sz w:val="32"/>
          <w:szCs w:val="32"/>
        </w:rPr>
        <w:t>号</w:t>
      </w:r>
    </w:p>
    <w:p w14:paraId="0F68D4F9">
      <w:pPr>
        <w:pStyle w:val="7"/>
        <w:ind w:left="420"/>
      </w:pPr>
    </w:p>
    <w:p w14:paraId="428B4347">
      <w:pPr>
        <w:pStyle w:val="13"/>
      </w:pPr>
    </w:p>
    <w:p w14:paraId="171A9189">
      <w:pPr>
        <w:pStyle w:val="2"/>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关于印发《营口市供销合作社联合社管理</w:t>
      </w:r>
    </w:p>
    <w:p w14:paraId="1A03CB59">
      <w:pPr>
        <w:pStyle w:val="2"/>
        <w:keepNext/>
        <w:keepLines/>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sz w:val="44"/>
          <w:szCs w:val="44"/>
          <w:lang w:eastAsia="zh-CN"/>
        </w:rPr>
        <w:t>企业权责清单（试行）》的通知</w:t>
      </w:r>
    </w:p>
    <w:p w14:paraId="607C52C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eastAsia="zh-CN"/>
        </w:rPr>
      </w:pPr>
    </w:p>
    <w:p w14:paraId="6BB09BC7">
      <w:pPr>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机关各科室、各市属社有企业：</w:t>
      </w:r>
    </w:p>
    <w:p w14:paraId="2575AD87">
      <w:pPr>
        <w:ind w:left="0" w:leftChars="0" w:firstLine="64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《营口市供销合作社联合社管理企业权责清单（试行）》已经市社党组会议审议通过，现印发给你们，请遵照执行。</w:t>
      </w:r>
    </w:p>
    <w:p w14:paraId="2448B54E">
      <w:pPr>
        <w:ind w:left="0" w:leftChars="0" w:firstLine="640" w:firstLineChars="0"/>
        <w:rPr>
          <w:rFonts w:hint="default" w:ascii="Times New Roman" w:hAnsi="Times New Roman" w:eastAsia="仿宋_GB2312" w:cs="Times New Roman"/>
          <w:sz w:val="32"/>
          <w:szCs w:val="32"/>
          <w:lang w:val="en-US" w:eastAsia="zh-CN"/>
        </w:rPr>
      </w:pPr>
    </w:p>
    <w:p w14:paraId="5847388E">
      <w:pPr>
        <w:ind w:left="0" w:leftChars="0" w:firstLine="640" w:firstLineChars="0"/>
        <w:rPr>
          <w:rFonts w:hint="default" w:ascii="Times New Roman" w:hAnsi="Times New Roman" w:eastAsia="仿宋_GB2312" w:cs="Times New Roman"/>
          <w:sz w:val="32"/>
          <w:szCs w:val="32"/>
          <w:lang w:val="en-US" w:eastAsia="zh-CN"/>
        </w:rPr>
      </w:pPr>
    </w:p>
    <w:p w14:paraId="4D2D339E">
      <w:pPr>
        <w:ind w:left="0" w:leftChars="0" w:firstLine="640" w:firstLineChars="0"/>
        <w:rPr>
          <w:rFonts w:hint="default" w:ascii="Times New Roman" w:hAnsi="Times New Roman" w:eastAsia="仿宋_GB2312" w:cs="Times New Roman"/>
          <w:sz w:val="32"/>
          <w:szCs w:val="32"/>
          <w:lang w:val="en-US" w:eastAsia="zh-CN"/>
        </w:rPr>
      </w:pPr>
    </w:p>
    <w:p w14:paraId="57E6C7D0">
      <w:pPr>
        <w:ind w:left="0" w:leftChars="0" w:firstLine="64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营口市供销合作社联合社</w:t>
      </w:r>
    </w:p>
    <w:p w14:paraId="1F6074F2">
      <w:pPr>
        <w:ind w:left="0" w:leftChars="0" w:firstLine="64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2026年1月4日</w:t>
      </w:r>
    </w:p>
    <w:p w14:paraId="16BB5F95">
      <w:pPr>
        <w:numPr>
          <w:ilvl w:val="0"/>
          <w:numId w:val="0"/>
        </w:numPr>
        <w:rPr>
          <w:rFonts w:hint="default" w:eastAsia="仿宋_GB2312" w:cs="Times New Roman"/>
          <w:sz w:val="32"/>
          <w:szCs w:val="32"/>
          <w:u w:val="none"/>
          <w:lang w:val="en-US" w:eastAsia="zh-CN"/>
        </w:rPr>
      </w:pPr>
    </w:p>
    <w:p w14:paraId="6F11139D">
      <w:pPr>
        <w:numPr>
          <w:ilvl w:val="0"/>
          <w:numId w:val="0"/>
        </w:numPr>
        <w:rPr>
          <w:rFonts w:hint="default" w:eastAsia="仿宋_GB2312" w:cs="Times New Roman"/>
          <w:sz w:val="32"/>
          <w:szCs w:val="32"/>
          <w:u w:val="none"/>
          <w:lang w:val="en-US" w:eastAsia="zh-CN"/>
        </w:rPr>
      </w:pPr>
    </w:p>
    <w:p w14:paraId="334F169F">
      <w:pPr>
        <w:numPr>
          <w:ilvl w:val="0"/>
          <w:numId w:val="0"/>
        </w:numPr>
        <w:ind w:firstLine="640" w:firstLineChars="200"/>
        <w:rPr>
          <w:rFonts w:hint="default" w:eastAsia="仿宋_GB2312" w:cs="Times New Roman"/>
          <w:sz w:val="32"/>
          <w:szCs w:val="32"/>
          <w:u w:val="none"/>
          <w:lang w:val="en-US" w:eastAsia="zh-CN"/>
        </w:rPr>
      </w:pPr>
      <w:r>
        <w:rPr>
          <w:rFonts w:hint="eastAsia" w:eastAsia="仿宋_GB2312" w:cs="Times New Roman"/>
          <w:sz w:val="32"/>
          <w:szCs w:val="32"/>
          <w:u w:val="none"/>
          <w:lang w:val="en-US" w:eastAsia="zh-CN"/>
        </w:rPr>
        <w:t>（此件公开发布）</w:t>
      </w:r>
    </w:p>
    <w:p w14:paraId="6AE5E706">
      <w:pPr>
        <w:pStyle w:val="2"/>
        <w:keepNext/>
        <w:keepLines/>
        <w:pageBreakBefore w:val="0"/>
        <w:widowControl/>
        <w:kinsoku/>
        <w:wordWrap/>
        <w:overflowPunct/>
        <w:topLinePunct w:val="0"/>
        <w:autoSpaceDE/>
        <w:autoSpaceDN/>
        <w:bidi w:val="0"/>
        <w:adjustRightInd/>
        <w:snapToGrid/>
        <w:spacing w:line="440" w:lineRule="exact"/>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营口市供销合作社联合社</w:t>
      </w:r>
      <w:r>
        <w:rPr>
          <w:rFonts w:hint="eastAsia" w:ascii="方正小标宋简体" w:hAnsi="方正小标宋简体" w:eastAsia="方正小标宋简体" w:cs="方正小标宋简体"/>
          <w:lang w:eastAsia="zh-CN"/>
        </w:rPr>
        <w:t>管理</w:t>
      </w:r>
      <w:r>
        <w:rPr>
          <w:rFonts w:hint="eastAsia" w:ascii="方正小标宋简体" w:hAnsi="方正小标宋简体" w:eastAsia="方正小标宋简体" w:cs="方正小标宋简体"/>
        </w:rPr>
        <w:t>企业</w:t>
      </w:r>
    </w:p>
    <w:p w14:paraId="7B107E55">
      <w:pPr>
        <w:pStyle w:val="2"/>
        <w:keepNext/>
        <w:keepLines/>
        <w:pageBreakBefore w:val="0"/>
        <w:widowControl/>
        <w:kinsoku/>
        <w:wordWrap/>
        <w:overflowPunct/>
        <w:topLinePunct w:val="0"/>
        <w:autoSpaceDE/>
        <w:autoSpaceDN/>
        <w:bidi w:val="0"/>
        <w:adjustRightInd/>
        <w:snapToGrid/>
        <w:spacing w:line="440" w:lineRule="exact"/>
        <w:textAlignment w:val="auto"/>
        <w:rPr>
          <w:rFonts w:cs="宋体"/>
        </w:rPr>
      </w:pPr>
      <w:r>
        <w:rPr>
          <w:rFonts w:hint="eastAsia" w:ascii="方正小标宋简体" w:hAnsi="方正小标宋简体" w:eastAsia="方正小标宋简体" w:cs="方正小标宋简体"/>
        </w:rPr>
        <w:t>权责清单（试行）</w:t>
      </w:r>
    </w:p>
    <w:p w14:paraId="6B3844DA">
      <w:pPr>
        <w:widowControl w:val="0"/>
        <w:spacing w:line="600" w:lineRule="exact"/>
        <w:ind w:firstLine="640" w:firstLineChars="200"/>
        <w:jc w:val="both"/>
        <w:rPr>
          <w:rFonts w:ascii="仿宋_GB2312" w:eastAsia="仿宋_GB2312" w:cs="Times New Roman"/>
          <w:kern w:val="2"/>
          <w:sz w:val="32"/>
          <w:szCs w:val="32"/>
          <w:lang w:eastAsia="zh-CN"/>
        </w:rPr>
      </w:pPr>
      <w:r>
        <w:rPr>
          <w:rFonts w:hint="eastAsia" w:ascii="方正黑体简体" w:hAnsi="方正黑体简体" w:eastAsia="方正黑体简体" w:cs="方正黑体简体"/>
          <w:kern w:val="2"/>
          <w:sz w:val="32"/>
          <w:szCs w:val="32"/>
          <w:lang w:eastAsia="zh-CN" w:bidi="ar"/>
        </w:rPr>
        <w:t>第一条</w:t>
      </w:r>
      <w:r>
        <w:rPr>
          <w:rFonts w:hint="eastAsia" w:ascii="仿宋_GB2312" w:eastAsia="仿宋_GB2312" w:cs="Times New Roman"/>
          <w:kern w:val="2"/>
          <w:sz w:val="32"/>
          <w:szCs w:val="32"/>
          <w:lang w:eastAsia="zh-CN" w:bidi="ar"/>
        </w:rPr>
        <w:t xml:space="preserve">  </w:t>
      </w:r>
      <w:r>
        <w:rPr>
          <w:rFonts w:hint="eastAsia" w:ascii="仿宋_GB2312" w:eastAsia="仿宋_GB2312" w:cs="仿宋_GB2312"/>
          <w:kern w:val="2"/>
          <w:sz w:val="32"/>
          <w:szCs w:val="32"/>
          <w:lang w:eastAsia="zh-CN" w:bidi="ar"/>
        </w:rPr>
        <w:t>为依法履行社有资产出资人职责，完善以管资本为主的社有资产监管体制，厘清市供销合作社联合社（以下简称“市供销社”）与所出资企业的权责边界，落实企业市场主体地位，保障社有资产安全与保值增值，</w:t>
      </w:r>
      <w:r>
        <w:rPr>
          <w:rFonts w:hint="eastAsia" w:ascii="仿宋_GB2312" w:eastAsia="仿宋_GB2312" w:cs="仿宋_GB2312"/>
          <w:spacing w:val="-13"/>
          <w:kern w:val="2"/>
          <w:sz w:val="32"/>
          <w:szCs w:val="32"/>
          <w:lang w:eastAsia="zh-CN" w:bidi="ar"/>
        </w:rPr>
        <w:t>根据《营口市</w:t>
      </w:r>
      <w:r>
        <w:rPr>
          <w:rFonts w:hint="eastAsia" w:ascii="仿宋_GB2312" w:eastAsia="仿宋_GB2312" w:cs="仿宋_GB2312"/>
          <w:spacing w:val="3"/>
          <w:kern w:val="2"/>
          <w:sz w:val="32"/>
          <w:szCs w:val="32"/>
          <w:lang w:eastAsia="zh-CN" w:bidi="ar"/>
        </w:rPr>
        <w:t>供销合作社联合社章程》，参照《中华人民共</w:t>
      </w:r>
      <w:r>
        <w:rPr>
          <w:rFonts w:hint="eastAsia" w:ascii="仿宋_GB2312" w:eastAsia="仿宋_GB2312" w:cs="仿宋_GB2312"/>
          <w:spacing w:val="2"/>
          <w:kern w:val="2"/>
          <w:sz w:val="32"/>
          <w:szCs w:val="32"/>
          <w:lang w:eastAsia="zh-CN" w:bidi="ar"/>
        </w:rPr>
        <w:t>和国公司法》</w:t>
      </w:r>
      <w:r>
        <w:rPr>
          <w:rFonts w:hint="eastAsia" w:ascii="仿宋_GB2312" w:eastAsia="仿宋_GB2312" w:cs="仿宋_GB2312"/>
          <w:spacing w:val="-2"/>
          <w:kern w:val="2"/>
          <w:sz w:val="32"/>
          <w:szCs w:val="32"/>
          <w:lang w:eastAsia="zh-CN" w:bidi="ar"/>
        </w:rPr>
        <w:t>及中华</w:t>
      </w:r>
      <w:r>
        <w:rPr>
          <w:rFonts w:hint="eastAsia" w:ascii="仿宋_GB2312" w:eastAsia="仿宋_GB2312" w:cs="仿宋_GB2312"/>
          <w:spacing w:val="-13"/>
          <w:kern w:val="2"/>
          <w:sz w:val="32"/>
          <w:szCs w:val="32"/>
          <w:lang w:eastAsia="zh-CN" w:bidi="ar"/>
        </w:rPr>
        <w:t>全国</w:t>
      </w:r>
      <w:r>
        <w:rPr>
          <w:rFonts w:hint="eastAsia" w:ascii="仿宋_GB2312" w:eastAsia="仿宋_GB2312" w:cs="仿宋_GB2312"/>
          <w:spacing w:val="-2"/>
          <w:kern w:val="2"/>
          <w:sz w:val="32"/>
          <w:szCs w:val="32"/>
          <w:lang w:eastAsia="zh-CN" w:bidi="ar"/>
        </w:rPr>
        <w:t>供销合作总社《关于加强供销集团改革发展重</w:t>
      </w:r>
      <w:r>
        <w:rPr>
          <w:rFonts w:hint="eastAsia" w:ascii="仿宋_GB2312" w:eastAsia="仿宋_GB2312" w:cs="仿宋_GB2312"/>
          <w:spacing w:val="-3"/>
          <w:kern w:val="2"/>
          <w:sz w:val="32"/>
          <w:szCs w:val="32"/>
          <w:lang w:eastAsia="zh-CN" w:bidi="ar"/>
        </w:rPr>
        <w:t>大事项</w:t>
      </w:r>
      <w:r>
        <w:rPr>
          <w:rFonts w:hint="eastAsia" w:ascii="仿宋_GB2312" w:eastAsia="仿宋_GB2312" w:cs="仿宋_GB2312"/>
          <w:spacing w:val="18"/>
          <w:kern w:val="2"/>
          <w:sz w:val="32"/>
          <w:szCs w:val="32"/>
          <w:lang w:eastAsia="zh-CN" w:bidi="ar"/>
        </w:rPr>
        <w:t>管理的规定（试行）》</w:t>
      </w:r>
      <w:r>
        <w:rPr>
          <w:rFonts w:hint="eastAsia" w:ascii="仿宋_GB2312" w:eastAsia="仿宋_GB2312" w:cs="仿宋_GB2312"/>
          <w:spacing w:val="9"/>
          <w:kern w:val="2"/>
          <w:sz w:val="32"/>
          <w:szCs w:val="32"/>
          <w:lang w:eastAsia="zh-CN" w:bidi="ar"/>
        </w:rPr>
        <w:t>、</w:t>
      </w:r>
      <w:r>
        <w:rPr>
          <w:rFonts w:hint="eastAsia" w:ascii="仿宋_GB2312" w:eastAsia="仿宋_GB2312" w:cs="仿宋_GB2312"/>
          <w:spacing w:val="18"/>
          <w:kern w:val="2"/>
          <w:sz w:val="32"/>
          <w:szCs w:val="32"/>
          <w:lang w:eastAsia="zh-CN" w:bidi="ar"/>
        </w:rPr>
        <w:t>《辽宁省供销合作社联合社管理企业权责清单（试行）</w:t>
      </w:r>
      <w:r>
        <w:rPr>
          <w:rFonts w:hint="eastAsia" w:ascii="仿宋_GB2312" w:eastAsia="仿宋_GB2312" w:cs="仿宋_GB2312"/>
          <w:spacing w:val="9"/>
          <w:kern w:val="2"/>
          <w:sz w:val="32"/>
          <w:szCs w:val="32"/>
          <w:lang w:eastAsia="zh-CN" w:bidi="ar"/>
        </w:rPr>
        <w:t>》</w:t>
      </w:r>
      <w:r>
        <w:rPr>
          <w:rFonts w:hint="eastAsia" w:ascii="仿宋_GB2312" w:eastAsia="仿宋_GB2312" w:cs="仿宋_GB2312"/>
          <w:spacing w:val="18"/>
          <w:kern w:val="2"/>
          <w:sz w:val="32"/>
          <w:szCs w:val="32"/>
          <w:lang w:eastAsia="zh-CN" w:bidi="ar"/>
        </w:rPr>
        <w:t>，借鉴《辽宁省国资委权责清单（202</w:t>
      </w:r>
      <w:r>
        <w:rPr>
          <w:rFonts w:hint="eastAsia" w:ascii="仿宋_GB2312" w:eastAsia="仿宋_GB2312" w:cs="仿宋_GB2312"/>
          <w:spacing w:val="17"/>
          <w:kern w:val="2"/>
          <w:sz w:val="32"/>
          <w:szCs w:val="32"/>
          <w:lang w:eastAsia="zh-CN" w:bidi="ar"/>
        </w:rPr>
        <w:t>0年</w:t>
      </w:r>
      <w:r>
        <w:rPr>
          <w:rFonts w:hint="eastAsia" w:ascii="仿宋_GB2312" w:eastAsia="仿宋_GB2312" w:cs="仿宋_GB2312"/>
          <w:spacing w:val="9"/>
          <w:kern w:val="2"/>
          <w:sz w:val="32"/>
          <w:szCs w:val="32"/>
          <w:lang w:eastAsia="zh-CN" w:bidi="ar"/>
        </w:rPr>
        <w:t>版）》《营口市国资委权责清单》等规定</w:t>
      </w:r>
      <w:r>
        <w:rPr>
          <w:rFonts w:hint="eastAsia" w:ascii="仿宋_GB2312" w:eastAsia="仿宋_GB2312" w:cs="仿宋_GB2312"/>
          <w:kern w:val="2"/>
          <w:sz w:val="32"/>
          <w:szCs w:val="32"/>
          <w:lang w:eastAsia="zh-CN" w:bidi="ar"/>
        </w:rPr>
        <w:t>及国家、省、市关于深化供销合作社综合改革的有关精神，结合工作实际，制定本清单。</w:t>
      </w:r>
    </w:p>
    <w:p w14:paraId="3D89FBC8">
      <w:pPr>
        <w:pStyle w:val="15"/>
        <w:spacing w:line="600" w:lineRule="exact"/>
        <w:ind w:firstLine="620" w:firstLineChars="200"/>
        <w:jc w:val="both"/>
        <w:rPr>
          <w:rFonts w:ascii="仿宋_GB2312" w:eastAsia="仿宋_GB2312" w:cs="仿宋_GB2312"/>
          <w:kern w:val="2"/>
          <w:sz w:val="32"/>
          <w:szCs w:val="32"/>
          <w:lang w:eastAsia="zh-CN"/>
        </w:rPr>
      </w:pPr>
      <w:r>
        <w:rPr>
          <w:rFonts w:hint="eastAsia" w:ascii="方正黑体简体" w:hAnsi="方正黑体简体" w:eastAsia="方正黑体简体" w:cs="方正黑体简体"/>
          <w:spacing w:val="-5"/>
          <w:kern w:val="2"/>
          <w:sz w:val="32"/>
          <w:szCs w:val="32"/>
          <w:lang w:eastAsia="zh-CN" w:bidi="ar"/>
        </w:rPr>
        <w:t>第二条</w:t>
      </w:r>
      <w:r>
        <w:rPr>
          <w:rFonts w:hint="eastAsia" w:ascii="仿宋_GB2312" w:hAnsi="仿宋" w:eastAsia="仿宋_GB2312" w:cs="仿宋_GB2312"/>
          <w:spacing w:val="-5"/>
          <w:kern w:val="2"/>
          <w:sz w:val="32"/>
          <w:szCs w:val="32"/>
          <w:lang w:eastAsia="zh-CN" w:bidi="ar"/>
        </w:rPr>
        <w:t xml:space="preserve">  本清单所称社有企业，是指由市供销社出资的全资、控股企业。</w:t>
      </w:r>
    </w:p>
    <w:p w14:paraId="4825DB1C">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第三条  权责划分原则</w:t>
      </w:r>
    </w:p>
    <w:p w14:paraId="75B3A8BA">
      <w:pPr>
        <w:widowControl w:val="0"/>
        <w:spacing w:line="600" w:lineRule="exact"/>
        <w:ind w:firstLine="643" w:firstLineChars="200"/>
        <w:jc w:val="both"/>
        <w:rPr>
          <w:rFonts w:ascii="仿宋_GB2312" w:eastAsia="仿宋_GB2312" w:cs="Times New Roman"/>
          <w:kern w:val="2"/>
          <w:sz w:val="32"/>
          <w:szCs w:val="32"/>
          <w:lang w:eastAsia="zh-CN"/>
        </w:rPr>
      </w:pPr>
      <w:r>
        <w:rPr>
          <w:rFonts w:hint="eastAsia" w:ascii="仿宋_GB2312" w:eastAsia="仿宋_GB2312" w:cs="仿宋_GB2312"/>
          <w:b/>
          <w:bCs/>
          <w:kern w:val="2"/>
          <w:sz w:val="32"/>
          <w:szCs w:val="32"/>
          <w:lang w:eastAsia="zh-CN" w:bidi="ar"/>
        </w:rPr>
        <w:t>（一）依法依规原则。</w:t>
      </w:r>
      <w:r>
        <w:rPr>
          <w:rFonts w:hint="eastAsia" w:ascii="仿宋_GB2312" w:eastAsia="仿宋_GB2312" w:cs="仿宋_GB2312"/>
          <w:kern w:val="2"/>
          <w:sz w:val="32"/>
          <w:szCs w:val="32"/>
          <w:lang w:eastAsia="zh-CN" w:bidi="ar"/>
        </w:rPr>
        <w:t>市供销社与社有企业的权责划分，以法律法规、公司章程及规范性文件为依据。</w:t>
      </w:r>
    </w:p>
    <w:p w14:paraId="4F8A15C0">
      <w:pPr>
        <w:widowControl w:val="0"/>
        <w:spacing w:line="600" w:lineRule="exact"/>
        <w:ind w:firstLine="643" w:firstLineChars="200"/>
        <w:jc w:val="both"/>
        <w:rPr>
          <w:rFonts w:ascii="仿宋_GB2312" w:eastAsia="仿宋_GB2312" w:cs="Times New Roman"/>
          <w:kern w:val="2"/>
          <w:sz w:val="32"/>
          <w:szCs w:val="32"/>
          <w:lang w:eastAsia="zh-CN"/>
        </w:rPr>
      </w:pPr>
      <w:r>
        <w:rPr>
          <w:rFonts w:hint="eastAsia" w:ascii="仿宋_GB2312" w:eastAsia="仿宋_GB2312" w:cs="仿宋_GB2312"/>
          <w:b/>
          <w:bCs/>
          <w:kern w:val="2"/>
          <w:sz w:val="32"/>
          <w:szCs w:val="32"/>
          <w:lang w:eastAsia="zh-CN" w:bidi="ar"/>
        </w:rPr>
        <w:t>（二）管资本为主原则。</w:t>
      </w:r>
      <w:r>
        <w:rPr>
          <w:rFonts w:hint="eastAsia" w:ascii="仿宋_GB2312" w:eastAsia="仿宋_GB2312" w:cs="仿宋_GB2312"/>
          <w:kern w:val="2"/>
          <w:sz w:val="32"/>
          <w:szCs w:val="32"/>
          <w:lang w:eastAsia="zh-CN" w:bidi="ar"/>
        </w:rPr>
        <w:t>市供销社重点围绕社有资本布局、规范资本运作、提高资本回报、维护资本安全履行出资人职责。</w:t>
      </w:r>
    </w:p>
    <w:p w14:paraId="29DB15EA">
      <w:pPr>
        <w:widowControl w:val="0"/>
        <w:spacing w:line="600" w:lineRule="exact"/>
        <w:ind w:firstLine="643" w:firstLineChars="200"/>
        <w:jc w:val="both"/>
        <w:rPr>
          <w:rFonts w:ascii="仿宋_GB2312" w:eastAsia="仿宋_GB2312" w:cs="Times New Roman"/>
          <w:kern w:val="2"/>
          <w:sz w:val="32"/>
          <w:szCs w:val="32"/>
          <w:lang w:eastAsia="zh-CN"/>
        </w:rPr>
      </w:pPr>
      <w:r>
        <w:rPr>
          <w:rFonts w:hint="eastAsia" w:ascii="仿宋_GB2312" w:eastAsia="仿宋_GB2312" w:cs="仿宋_GB2312"/>
          <w:b/>
          <w:bCs/>
          <w:kern w:val="2"/>
          <w:sz w:val="32"/>
          <w:szCs w:val="32"/>
          <w:lang w:eastAsia="zh-CN" w:bidi="ar"/>
        </w:rPr>
        <w:t>（三）权责明确原则。</w:t>
      </w:r>
      <w:r>
        <w:rPr>
          <w:rFonts w:hint="eastAsia" w:ascii="仿宋_GB2312" w:eastAsia="仿宋_GB2312" w:cs="仿宋_GB2312"/>
          <w:kern w:val="2"/>
          <w:sz w:val="32"/>
          <w:szCs w:val="32"/>
          <w:lang w:eastAsia="zh-CN" w:bidi="ar"/>
        </w:rPr>
        <w:t>清单内事项，市供销社按类别履行相应权责；清单外事项，由社有企业依据法律法规和公司章程自主决策、自负其责。</w:t>
      </w:r>
    </w:p>
    <w:p w14:paraId="66BC3E3A">
      <w:pPr>
        <w:widowControl w:val="0"/>
        <w:spacing w:line="600" w:lineRule="exact"/>
        <w:ind w:firstLine="643" w:firstLineChars="200"/>
        <w:jc w:val="both"/>
        <w:rPr>
          <w:rFonts w:ascii="仿宋_GB2312" w:eastAsia="仿宋_GB2312" w:cs="Times New Roman"/>
          <w:kern w:val="2"/>
          <w:sz w:val="32"/>
          <w:szCs w:val="32"/>
          <w:lang w:eastAsia="zh-CN"/>
        </w:rPr>
      </w:pPr>
      <w:r>
        <w:rPr>
          <w:rFonts w:hint="eastAsia" w:ascii="仿宋_GB2312" w:eastAsia="仿宋_GB2312" w:cs="仿宋_GB2312"/>
          <w:b/>
          <w:bCs/>
          <w:kern w:val="2"/>
          <w:sz w:val="32"/>
          <w:szCs w:val="32"/>
          <w:lang w:eastAsia="zh-CN" w:bidi="ar"/>
        </w:rPr>
        <w:t>（四）分层分类原则。</w:t>
      </w:r>
      <w:r>
        <w:rPr>
          <w:rFonts w:hint="eastAsia" w:ascii="仿宋_GB2312" w:eastAsia="仿宋_GB2312" w:cs="仿宋_GB2312"/>
          <w:kern w:val="2"/>
          <w:sz w:val="32"/>
          <w:szCs w:val="32"/>
          <w:lang w:eastAsia="zh-CN" w:bidi="ar"/>
        </w:rPr>
        <w:t>市供销社根据管理权限对不同功能、类型、层级的社有企业，在部分事项上可深入实施差异化管理。</w:t>
      </w:r>
    </w:p>
    <w:p w14:paraId="35BC7478">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第四条  事项类别</w:t>
      </w:r>
    </w:p>
    <w:p w14:paraId="74B18D89">
      <w:pPr>
        <w:widowControl w:val="0"/>
        <w:spacing w:line="600" w:lineRule="exact"/>
        <w:ind w:firstLine="640" w:firstLineChars="200"/>
        <w:jc w:val="both"/>
        <w:rPr>
          <w:rFonts w:ascii="仿宋_GB2312" w:eastAsia="仿宋_GB2312" w:cs="Times New Roman"/>
          <w:kern w:val="2"/>
          <w:sz w:val="32"/>
          <w:szCs w:val="32"/>
          <w:lang w:eastAsia="zh-CN"/>
        </w:rPr>
      </w:pPr>
      <w:r>
        <w:rPr>
          <w:rFonts w:hint="eastAsia" w:ascii="仿宋_GB2312" w:eastAsia="仿宋_GB2312" w:cs="仿宋_GB2312"/>
          <w:kern w:val="2"/>
          <w:sz w:val="32"/>
          <w:szCs w:val="32"/>
          <w:lang w:eastAsia="zh-CN" w:bidi="ar"/>
        </w:rPr>
        <w:t>市供销社对社有企业的管理事项，分为决定事项、批准事项、报告事项、备案事项四类。具体范围详见本清单附件。</w:t>
      </w:r>
    </w:p>
    <w:p w14:paraId="6E756332">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第五条  决定事项</w:t>
      </w:r>
    </w:p>
    <w:p w14:paraId="30ECCB19">
      <w:pPr>
        <w:widowControl w:val="0"/>
        <w:spacing w:line="600" w:lineRule="exact"/>
        <w:ind w:firstLine="648" w:firstLineChars="200"/>
        <w:jc w:val="both"/>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决定事项是</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2"/>
          <w:sz w:val="32"/>
          <w:szCs w:val="32"/>
          <w:lang w:eastAsia="zh-CN"/>
        </w:rPr>
        <w:t>供销社基于出资人权利和职责，可以不依据社有企业申请主动决定的事项。</w:t>
      </w:r>
    </w:p>
    <w:p w14:paraId="5D886427">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第六条  批准事项</w:t>
      </w:r>
    </w:p>
    <w:p w14:paraId="70DCB736">
      <w:pPr>
        <w:widowControl w:val="0"/>
        <w:spacing w:line="600" w:lineRule="exact"/>
        <w:ind w:firstLine="648" w:firstLineChars="200"/>
        <w:jc w:val="both"/>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批准事项是依据社有企业提出的申请，</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2"/>
          <w:sz w:val="32"/>
          <w:szCs w:val="32"/>
          <w:lang w:eastAsia="zh-CN"/>
        </w:rPr>
        <w:t>供销社可以批准或者不予批准的事项。批准事项须报送</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2"/>
          <w:sz w:val="32"/>
          <w:szCs w:val="32"/>
          <w:lang w:eastAsia="zh-CN"/>
        </w:rPr>
        <w:t>供销社审批同意后方可实施。</w:t>
      </w:r>
    </w:p>
    <w:p w14:paraId="2A2DDBED">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第七条  报告事项</w:t>
      </w:r>
    </w:p>
    <w:p w14:paraId="4D0648DA">
      <w:pPr>
        <w:pStyle w:val="6"/>
        <w:spacing w:line="600" w:lineRule="exact"/>
        <w:ind w:firstLine="648" w:firstLineChars="200"/>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报告事项是社有企业依据相关要求，按既定程序和时限主动向</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2"/>
          <w:sz w:val="32"/>
          <w:szCs w:val="32"/>
          <w:lang w:eastAsia="zh-CN"/>
        </w:rPr>
        <w:t>供销社进行信息传达的特定事项。</w:t>
      </w:r>
    </w:p>
    <w:p w14:paraId="13F5CE93">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第八条  备案事项</w:t>
      </w:r>
    </w:p>
    <w:p w14:paraId="099E9729">
      <w:pPr>
        <w:widowControl w:val="0"/>
        <w:spacing w:line="600" w:lineRule="exact"/>
        <w:ind w:firstLine="648" w:firstLineChars="200"/>
        <w:jc w:val="both"/>
        <w:rPr>
          <w:rFonts w:ascii="仿宋_GB2312" w:eastAsia="仿宋_GB2312" w:cs="Times New Roman"/>
          <w:kern w:val="2"/>
          <w:sz w:val="32"/>
          <w:szCs w:val="32"/>
          <w:lang w:eastAsia="zh-CN"/>
        </w:rPr>
      </w:pPr>
      <w:r>
        <w:rPr>
          <w:rFonts w:hint="eastAsia" w:ascii="仿宋_GB2312" w:hAnsi="仿宋_GB2312" w:eastAsia="仿宋_GB2312" w:cs="仿宋_GB2312"/>
          <w:spacing w:val="2"/>
          <w:sz w:val="32"/>
          <w:szCs w:val="32"/>
          <w:lang w:eastAsia="zh-CN"/>
        </w:rPr>
        <w:t>备案事项是社有企业应向</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2"/>
          <w:sz w:val="32"/>
          <w:szCs w:val="32"/>
          <w:lang w:eastAsia="zh-CN"/>
        </w:rPr>
        <w:t>供销社及时报告的重大事项。备案事项由社有企业决策机构审议通过后报</w:t>
      </w:r>
      <w:r>
        <w:rPr>
          <w:rFonts w:hint="eastAsia" w:ascii="仿宋_GB2312" w:hAnsi="仿宋_GB2312" w:eastAsia="仿宋_GB2312" w:cs="仿宋_GB2312"/>
          <w:spacing w:val="-5"/>
          <w:sz w:val="32"/>
          <w:szCs w:val="32"/>
          <w:lang w:eastAsia="zh-CN"/>
        </w:rPr>
        <w:t>市</w:t>
      </w:r>
      <w:r>
        <w:rPr>
          <w:rFonts w:hint="eastAsia" w:ascii="仿宋_GB2312" w:hAnsi="仿宋_GB2312" w:eastAsia="仿宋_GB2312" w:cs="仿宋_GB2312"/>
          <w:spacing w:val="2"/>
          <w:sz w:val="32"/>
          <w:szCs w:val="32"/>
          <w:lang w:eastAsia="zh-CN"/>
        </w:rPr>
        <w:t>供销社相关科室，符合备案条件的予以备案。</w:t>
      </w:r>
    </w:p>
    <w:p w14:paraId="1C851058">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第九条  科室职责分工</w:t>
      </w:r>
    </w:p>
    <w:p w14:paraId="14D520B8">
      <w:pPr>
        <w:widowControl w:val="0"/>
        <w:spacing w:line="600" w:lineRule="exact"/>
        <w:ind w:firstLine="640" w:firstLineChars="200"/>
        <w:jc w:val="both"/>
        <w:rPr>
          <w:rFonts w:ascii="仿宋_GB2312" w:eastAsia="仿宋_GB2312" w:cs="Times New Roman"/>
          <w:kern w:val="2"/>
          <w:sz w:val="32"/>
          <w:szCs w:val="32"/>
          <w:lang w:eastAsia="zh-CN"/>
        </w:rPr>
      </w:pPr>
      <w:r>
        <w:rPr>
          <w:rFonts w:hint="eastAsia" w:ascii="仿宋_GB2312" w:eastAsia="仿宋_GB2312" w:cs="仿宋_GB2312"/>
          <w:kern w:val="2"/>
          <w:sz w:val="32"/>
          <w:szCs w:val="32"/>
          <w:lang w:eastAsia="zh-CN" w:bidi="ar"/>
        </w:rPr>
        <w:t>市供销社各相关科室应按照本清单确定的事项类别及市供销社内部职责分工，对社有企业各项业务进行对口管理、指导与监督。主办科室牵头负责相应事项的审核、办理与跟踪问效，协办科室应积极配合，形成管理合力，确保权责清单有效执行。</w:t>
      </w:r>
    </w:p>
    <w:p w14:paraId="4C814000">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第十条  清单外事项</w:t>
      </w:r>
    </w:p>
    <w:p w14:paraId="16F76F7D">
      <w:pPr>
        <w:widowControl w:val="0"/>
        <w:spacing w:line="600" w:lineRule="exact"/>
        <w:ind w:firstLine="640" w:firstLineChars="200"/>
        <w:jc w:val="both"/>
        <w:rPr>
          <w:rFonts w:ascii="仿宋_GB2312" w:eastAsia="仿宋_GB2312" w:cs="Times New Roman"/>
          <w:kern w:val="2"/>
          <w:sz w:val="32"/>
          <w:szCs w:val="32"/>
          <w:lang w:eastAsia="zh-CN"/>
        </w:rPr>
      </w:pPr>
      <w:r>
        <w:rPr>
          <w:rFonts w:hint="eastAsia" w:ascii="仿宋_GB2312" w:eastAsia="仿宋_GB2312" w:cs="仿宋_GB2312"/>
          <w:kern w:val="2"/>
          <w:sz w:val="32"/>
          <w:szCs w:val="32"/>
          <w:lang w:eastAsia="zh-CN" w:bidi="ar"/>
        </w:rPr>
        <w:t>本清单未列明且法律法规未禁止的事项，由社有企业依照《中华人民共和国公司法》等法律法规及公司章程规定，自主决策、自行实施、自担风险。市供销社相关科室依据有关制度和市供销社阶段性的重点工作进行动态监督。</w:t>
      </w:r>
    </w:p>
    <w:p w14:paraId="3D11D751">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rPr>
        <w:t>第十一条</w:t>
      </w:r>
      <w:r>
        <w:rPr>
          <w:rFonts w:hint="eastAsia" w:ascii="方正黑体简体" w:hAnsi="方正黑体简体" w:eastAsia="方正黑体简体" w:cs="方正黑体简体"/>
          <w:kern w:val="2"/>
          <w:sz w:val="32"/>
          <w:szCs w:val="32"/>
          <w:lang w:eastAsia="zh-CN" w:bidi="ar"/>
        </w:rPr>
        <w:t xml:space="preserve">  事项上报程序</w:t>
      </w:r>
    </w:p>
    <w:p w14:paraId="47F408DB">
      <w:pPr>
        <w:widowControl w:val="0"/>
        <w:spacing w:line="600" w:lineRule="exact"/>
        <w:ind w:firstLine="640" w:firstLineChars="200"/>
        <w:jc w:val="both"/>
        <w:rPr>
          <w:rFonts w:ascii="仿宋_GB2312" w:eastAsia="仿宋_GB2312" w:cs="仿宋_GB2312"/>
          <w:kern w:val="2"/>
          <w:sz w:val="32"/>
          <w:szCs w:val="32"/>
          <w:lang w:eastAsia="zh-CN"/>
        </w:rPr>
      </w:pPr>
      <w:r>
        <w:rPr>
          <w:rFonts w:hint="eastAsia" w:ascii="仿宋_GB2312" w:eastAsia="仿宋_GB2312" w:cs="仿宋_GB2312"/>
          <w:kern w:val="2"/>
          <w:sz w:val="32"/>
          <w:szCs w:val="32"/>
          <w:lang w:eastAsia="zh-CN" w:bidi="ar"/>
        </w:rPr>
        <w:t>批准、报告和备案事项应遵循以下程序上报：</w:t>
      </w:r>
    </w:p>
    <w:p w14:paraId="105B9749">
      <w:pPr>
        <w:widowControl w:val="0"/>
        <w:spacing w:line="600" w:lineRule="exact"/>
        <w:ind w:firstLine="643" w:firstLineChars="200"/>
        <w:jc w:val="both"/>
        <w:rPr>
          <w:rFonts w:ascii="仿宋_GB2312" w:eastAsia="仿宋_GB2312" w:cs="仿宋_GB2312"/>
          <w:kern w:val="2"/>
          <w:sz w:val="32"/>
          <w:szCs w:val="32"/>
          <w:lang w:eastAsia="zh-CN"/>
        </w:rPr>
      </w:pPr>
      <w:r>
        <w:rPr>
          <w:rFonts w:hint="eastAsia" w:ascii="仿宋_GB2312" w:eastAsia="仿宋_GB2312" w:cs="仿宋_GB2312"/>
          <w:b/>
          <w:bCs/>
          <w:kern w:val="2"/>
          <w:sz w:val="32"/>
          <w:szCs w:val="32"/>
          <w:lang w:eastAsia="zh-CN" w:bidi="ar"/>
        </w:rPr>
        <w:t>（一）上报时限：</w:t>
      </w:r>
      <w:r>
        <w:rPr>
          <w:rFonts w:hint="eastAsia" w:ascii="仿宋_GB2312" w:eastAsia="仿宋_GB2312" w:cs="仿宋_GB2312"/>
          <w:kern w:val="2"/>
          <w:sz w:val="32"/>
          <w:szCs w:val="32"/>
          <w:lang w:eastAsia="zh-CN" w:bidi="ar"/>
        </w:rPr>
        <w:t>社有企业履行内部决策程序（董事会、总经理办公会等）后，应在3个工作日内将相关事项上报市供销社。</w:t>
      </w:r>
    </w:p>
    <w:p w14:paraId="4EF5CA4A">
      <w:pPr>
        <w:widowControl w:val="0"/>
        <w:spacing w:line="600" w:lineRule="exact"/>
        <w:ind w:firstLine="643" w:firstLineChars="200"/>
        <w:jc w:val="both"/>
        <w:rPr>
          <w:rFonts w:ascii="仿宋_GB2312" w:eastAsia="仿宋_GB2312" w:cs="仿宋_GB2312"/>
          <w:kern w:val="2"/>
          <w:sz w:val="32"/>
          <w:szCs w:val="32"/>
          <w:lang w:eastAsia="zh-CN"/>
        </w:rPr>
      </w:pPr>
      <w:r>
        <w:rPr>
          <w:rFonts w:hint="eastAsia" w:ascii="仿宋_GB2312" w:eastAsia="仿宋_GB2312" w:cs="仿宋_GB2312"/>
          <w:b/>
          <w:bCs/>
          <w:kern w:val="2"/>
          <w:sz w:val="32"/>
          <w:szCs w:val="32"/>
          <w:lang w:eastAsia="zh-CN" w:bidi="ar"/>
        </w:rPr>
        <w:t>（二）报送内容：</w:t>
      </w:r>
      <w:r>
        <w:rPr>
          <w:rFonts w:hint="eastAsia" w:ascii="仿宋_GB2312" w:eastAsia="仿宋_GB2312" w:cs="仿宋_GB2312"/>
          <w:kern w:val="2"/>
          <w:sz w:val="32"/>
          <w:szCs w:val="32"/>
          <w:lang w:eastAsia="zh-CN" w:bidi="ar"/>
        </w:rPr>
        <w:t>上报材料应包括事项内容简介、相关方案、董事会或总经理办公会会议决议及其他必要的支撑性附件。</w:t>
      </w:r>
    </w:p>
    <w:p w14:paraId="4AB6FD9E">
      <w:pPr>
        <w:widowControl w:val="0"/>
        <w:spacing w:line="600" w:lineRule="exact"/>
        <w:ind w:firstLine="643" w:firstLineChars="200"/>
        <w:jc w:val="both"/>
        <w:rPr>
          <w:rFonts w:ascii="仿宋_GB2312" w:eastAsia="仿宋_GB2312" w:cs="仿宋_GB2312"/>
          <w:kern w:val="2"/>
          <w:sz w:val="32"/>
          <w:szCs w:val="32"/>
          <w:lang w:eastAsia="zh-CN"/>
        </w:rPr>
      </w:pPr>
      <w:r>
        <w:rPr>
          <w:rFonts w:hint="eastAsia" w:ascii="仿宋_GB2312" w:eastAsia="仿宋_GB2312" w:cs="仿宋_GB2312"/>
          <w:b/>
          <w:bCs/>
          <w:kern w:val="2"/>
          <w:sz w:val="32"/>
          <w:szCs w:val="32"/>
          <w:lang w:eastAsia="zh-CN" w:bidi="ar"/>
        </w:rPr>
        <w:t>（三）上报形式：</w:t>
      </w:r>
      <w:r>
        <w:rPr>
          <w:rFonts w:hint="eastAsia" w:ascii="仿宋_GB2312" w:eastAsia="仿宋_GB2312" w:cs="仿宋_GB2312"/>
          <w:kern w:val="2"/>
          <w:sz w:val="32"/>
          <w:szCs w:val="32"/>
          <w:lang w:eastAsia="zh-CN" w:bidi="ar"/>
        </w:rPr>
        <w:t>批准事项应以“请示”形式上报；报告、备案事项应以“报告”形式上报。主送单位均为“市供销社”。</w:t>
      </w:r>
    </w:p>
    <w:p w14:paraId="3672174F">
      <w:pPr>
        <w:widowControl w:val="0"/>
        <w:spacing w:line="600" w:lineRule="exact"/>
        <w:ind w:firstLine="643" w:firstLineChars="200"/>
        <w:jc w:val="both"/>
        <w:rPr>
          <w:rFonts w:ascii="仿宋_GB2312" w:eastAsia="仿宋_GB2312" w:cs="仿宋_GB2312"/>
          <w:kern w:val="2"/>
          <w:sz w:val="32"/>
          <w:szCs w:val="32"/>
          <w:lang w:eastAsia="zh-CN"/>
        </w:rPr>
      </w:pPr>
      <w:r>
        <w:rPr>
          <w:rFonts w:hint="eastAsia" w:ascii="仿宋_GB2312" w:eastAsia="仿宋_GB2312" w:cs="仿宋_GB2312"/>
          <w:b/>
          <w:bCs/>
          <w:kern w:val="2"/>
          <w:sz w:val="32"/>
          <w:szCs w:val="32"/>
          <w:lang w:eastAsia="zh-CN" w:bidi="ar"/>
        </w:rPr>
        <w:t>（四）审核流程：</w:t>
      </w:r>
      <w:r>
        <w:rPr>
          <w:rFonts w:hint="eastAsia" w:ascii="仿宋_GB2312" w:eastAsia="仿宋_GB2312" w:cs="仿宋_GB2312"/>
          <w:kern w:val="2"/>
          <w:sz w:val="32"/>
          <w:szCs w:val="32"/>
          <w:lang w:eastAsia="zh-CN" w:bidi="ar"/>
        </w:rPr>
        <w:t>所有上报事项均需报送至市供销社相关主办科室进行合规性审核。审核无异议后，由社有企业最终形成正式书面文件，并加盖企业公章。</w:t>
      </w:r>
    </w:p>
    <w:p w14:paraId="259CB445">
      <w:pPr>
        <w:widowControl w:val="0"/>
        <w:spacing w:line="600" w:lineRule="exact"/>
        <w:ind w:firstLine="643" w:firstLineChars="200"/>
        <w:jc w:val="both"/>
        <w:rPr>
          <w:rFonts w:ascii="仿宋_GB2312" w:eastAsia="仿宋_GB2312" w:cs="仿宋_GB2312"/>
          <w:kern w:val="2"/>
          <w:sz w:val="32"/>
          <w:szCs w:val="32"/>
          <w:lang w:eastAsia="zh-CN"/>
        </w:rPr>
      </w:pPr>
      <w:r>
        <w:rPr>
          <w:rFonts w:hint="eastAsia" w:ascii="仿宋_GB2312" w:eastAsia="仿宋_GB2312" w:cs="仿宋_GB2312"/>
          <w:b/>
          <w:bCs/>
          <w:kern w:val="2"/>
          <w:sz w:val="32"/>
          <w:szCs w:val="32"/>
          <w:lang w:eastAsia="zh-CN" w:bidi="ar"/>
        </w:rPr>
        <w:t>（五）后续程序：</w:t>
      </w:r>
      <w:r>
        <w:rPr>
          <w:rFonts w:hint="eastAsia" w:ascii="仿宋_GB2312" w:eastAsia="仿宋_GB2312" w:cs="仿宋_GB2312"/>
          <w:kern w:val="2"/>
          <w:sz w:val="32"/>
          <w:szCs w:val="32"/>
          <w:lang w:eastAsia="zh-CN" w:bidi="ar"/>
        </w:rPr>
        <w:t>报告、备案事项的定稿文件，在完成上述审核与用印程序后，应报送至市供销社理事会办公室，由其按规定履行后续的内部流转与归档程序。</w:t>
      </w:r>
    </w:p>
    <w:p w14:paraId="6AC4A576">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第十二条  动态调整机制</w:t>
      </w:r>
    </w:p>
    <w:p w14:paraId="7252601C">
      <w:pPr>
        <w:widowControl w:val="0"/>
        <w:spacing w:line="600" w:lineRule="exact"/>
        <w:ind w:firstLine="640" w:firstLineChars="200"/>
        <w:jc w:val="both"/>
        <w:rPr>
          <w:rFonts w:ascii="仿宋_GB2312" w:eastAsia="仿宋_GB2312" w:cs="Times New Roman"/>
          <w:kern w:val="2"/>
          <w:sz w:val="32"/>
          <w:szCs w:val="32"/>
          <w:lang w:eastAsia="zh-CN"/>
        </w:rPr>
      </w:pPr>
      <w:r>
        <w:rPr>
          <w:rFonts w:hint="eastAsia" w:ascii="仿宋_GB2312" w:eastAsia="仿宋_GB2312" w:cs="仿宋_GB2312"/>
          <w:kern w:val="2"/>
          <w:sz w:val="32"/>
          <w:szCs w:val="32"/>
          <w:lang w:eastAsia="zh-CN" w:bidi="ar"/>
        </w:rPr>
        <w:t>市供销社将根据法律法规变动、国家政策调整、改革发展需要及监管实践，适时对本清单事项及标准进行动态评估与调整。调整方案经市供销社党组会审议通过后发布实施。</w:t>
      </w:r>
    </w:p>
    <w:p w14:paraId="4C2F0485">
      <w:pPr>
        <w:widowControl w:val="0"/>
        <w:spacing w:line="600" w:lineRule="exact"/>
        <w:ind w:firstLine="640" w:firstLineChars="200"/>
        <w:jc w:val="both"/>
        <w:rPr>
          <w:rFonts w:hint="eastAsia" w:ascii="方正黑体简体" w:hAnsi="方正黑体简体" w:eastAsia="方正黑体简体" w:cs="方正黑体简体"/>
          <w:kern w:val="2"/>
          <w:sz w:val="32"/>
          <w:szCs w:val="32"/>
          <w:lang w:eastAsia="zh-CN"/>
        </w:rPr>
      </w:pPr>
      <w:r>
        <w:rPr>
          <w:rFonts w:hint="eastAsia" w:ascii="方正黑体简体" w:hAnsi="方正黑体简体" w:eastAsia="方正黑体简体" w:cs="方正黑体简体"/>
          <w:kern w:val="2"/>
          <w:sz w:val="32"/>
          <w:szCs w:val="32"/>
          <w:lang w:eastAsia="zh-CN" w:bidi="ar"/>
        </w:rPr>
        <w:t>第十三条  附则</w:t>
      </w:r>
    </w:p>
    <w:p w14:paraId="3FC0C75C">
      <w:pPr>
        <w:widowControl w:val="0"/>
        <w:spacing w:line="600" w:lineRule="exact"/>
        <w:ind w:firstLine="640" w:firstLineChars="200"/>
        <w:jc w:val="both"/>
        <w:rPr>
          <w:rFonts w:ascii="仿宋_GB2312" w:eastAsia="仿宋_GB2312" w:cs="Times New Roman"/>
          <w:kern w:val="2"/>
          <w:sz w:val="32"/>
          <w:szCs w:val="32"/>
          <w:lang w:eastAsia="zh-CN"/>
        </w:rPr>
      </w:pPr>
      <w:r>
        <w:rPr>
          <w:rFonts w:hint="eastAsia" w:ascii="仿宋_GB2312" w:eastAsia="仿宋_GB2312" w:cs="仿宋_GB2312"/>
          <w:kern w:val="2"/>
          <w:sz w:val="32"/>
          <w:szCs w:val="32"/>
          <w:lang w:eastAsia="zh-CN" w:bidi="ar"/>
        </w:rPr>
        <w:t>社有企业向市供销社报送批准、报告、备案事项时，应提供充分、真实的决策依据和材料。</w:t>
      </w:r>
    </w:p>
    <w:p w14:paraId="45F91DB7">
      <w:pPr>
        <w:widowControl w:val="0"/>
        <w:spacing w:line="600" w:lineRule="exact"/>
        <w:ind w:firstLine="640" w:firstLineChars="200"/>
        <w:jc w:val="both"/>
        <w:rPr>
          <w:rFonts w:ascii="仿宋_GB2312" w:eastAsia="仿宋_GB2312" w:cs="Times New Roman"/>
          <w:kern w:val="2"/>
          <w:sz w:val="32"/>
          <w:szCs w:val="32"/>
          <w:lang w:eastAsia="zh-CN"/>
        </w:rPr>
      </w:pPr>
      <w:r>
        <w:rPr>
          <w:rFonts w:hint="eastAsia" w:ascii="仿宋_GB2312" w:eastAsia="仿宋_GB2312" w:cs="仿宋_GB2312"/>
          <w:kern w:val="2"/>
          <w:sz w:val="32"/>
          <w:szCs w:val="32"/>
          <w:lang w:eastAsia="zh-CN" w:bidi="ar"/>
        </w:rPr>
        <w:t>本清单自印发之日起执行。具体事项的办理流程、标准及表单由市供销社相关科室另行规定。</w:t>
      </w:r>
    </w:p>
    <w:p w14:paraId="4B44953A">
      <w:pPr>
        <w:widowControl w:val="0"/>
        <w:spacing w:line="600" w:lineRule="exact"/>
        <w:ind w:firstLine="640" w:firstLineChars="200"/>
        <w:jc w:val="both"/>
        <w:rPr>
          <w:rFonts w:ascii="仿宋_GB2312" w:eastAsia="仿宋_GB2312" w:cs="仿宋_GB2312"/>
          <w:kern w:val="2"/>
          <w:sz w:val="32"/>
          <w:szCs w:val="32"/>
          <w:lang w:eastAsia="zh-CN" w:bidi="ar"/>
        </w:rPr>
      </w:pPr>
      <w:r>
        <w:rPr>
          <w:rFonts w:hint="eastAsia" w:ascii="仿宋_GB2312" w:eastAsia="仿宋_GB2312" w:cs="仿宋_GB2312"/>
          <w:kern w:val="2"/>
          <w:sz w:val="32"/>
          <w:szCs w:val="32"/>
          <w:lang w:eastAsia="zh-CN" w:bidi="ar"/>
        </w:rPr>
        <w:t>《市供销社对下属全资企业负责人聘用期满考察工作实施方案（试行）》（营供字[2022]22号）、《营口市供销社全资及控股企业“三重一大”审议和重要事项备案暂行办法》（营供字[2024]13号）同时废止。</w:t>
      </w:r>
    </w:p>
    <w:p w14:paraId="051D7869">
      <w:pPr>
        <w:numPr>
          <w:ilvl w:val="0"/>
          <w:numId w:val="0"/>
        </w:numPr>
        <w:rPr>
          <w:rFonts w:hint="eastAsia" w:ascii="仿宋_GB2312" w:eastAsia="仿宋_GB2312" w:cs="仿宋_GB2312"/>
          <w:kern w:val="2"/>
          <w:sz w:val="32"/>
          <w:szCs w:val="32"/>
          <w:lang w:eastAsia="zh-CN" w:bidi="ar"/>
        </w:rPr>
      </w:pPr>
      <w:r>
        <w:rPr>
          <w:rFonts w:hint="eastAsia" w:ascii="仿宋_GB2312" w:eastAsia="仿宋_GB2312" w:cs="仿宋_GB2312"/>
          <w:kern w:val="2"/>
          <w:sz w:val="32"/>
          <w:szCs w:val="32"/>
          <w:lang w:eastAsia="zh-CN" w:bidi="ar"/>
        </w:rPr>
        <w:t>本清单由市供销社负责解释。</w:t>
      </w:r>
    </w:p>
    <w:p w14:paraId="3900248C">
      <w:pPr>
        <w:numPr>
          <w:ilvl w:val="0"/>
          <w:numId w:val="0"/>
        </w:numPr>
        <w:rPr>
          <w:rFonts w:hint="eastAsia" w:ascii="仿宋_GB2312" w:eastAsia="仿宋_GB2312" w:cs="仿宋_GB2312"/>
          <w:kern w:val="2"/>
          <w:sz w:val="32"/>
          <w:szCs w:val="32"/>
          <w:lang w:eastAsia="zh-CN" w:bidi="ar"/>
        </w:rPr>
      </w:pPr>
    </w:p>
    <w:p w14:paraId="4BF0D8EA">
      <w:pPr>
        <w:numPr>
          <w:ilvl w:val="0"/>
          <w:numId w:val="0"/>
        </w:numPr>
        <w:rPr>
          <w:rFonts w:hint="eastAsia" w:ascii="仿宋_GB2312" w:eastAsia="仿宋_GB2312" w:cs="仿宋_GB2312"/>
          <w:kern w:val="2"/>
          <w:sz w:val="32"/>
          <w:szCs w:val="32"/>
          <w:lang w:eastAsia="zh-CN" w:bidi="ar"/>
        </w:rPr>
      </w:pPr>
    </w:p>
    <w:p w14:paraId="5BEEC4F1">
      <w:pPr>
        <w:numPr>
          <w:ilvl w:val="0"/>
          <w:numId w:val="0"/>
        </w:numPr>
        <w:rPr>
          <w:rFonts w:hint="eastAsia" w:ascii="仿宋_GB2312" w:eastAsia="仿宋_GB2312" w:cs="仿宋_GB2312"/>
          <w:kern w:val="2"/>
          <w:sz w:val="32"/>
          <w:szCs w:val="32"/>
          <w:lang w:eastAsia="zh-CN" w:bidi="ar"/>
        </w:rPr>
      </w:pPr>
    </w:p>
    <w:p w14:paraId="78582B23">
      <w:pPr>
        <w:rPr>
          <w:rFonts w:hint="default" w:ascii="仿宋_GB2312" w:eastAsia="仿宋_GB2312" w:cs="仿宋_GB2312"/>
          <w:kern w:val="2"/>
          <w:sz w:val="32"/>
          <w:szCs w:val="32"/>
          <w:lang w:val="en-US" w:eastAsia="zh-CN" w:bidi="ar"/>
        </w:rPr>
      </w:pPr>
      <w:r>
        <w:rPr>
          <w:rFonts w:hint="default" w:ascii="仿宋_GB2312" w:eastAsia="仿宋_GB2312" w:cs="仿宋_GB2312"/>
          <w:kern w:val="2"/>
          <w:sz w:val="32"/>
          <w:szCs w:val="32"/>
          <w:lang w:val="en-US" w:eastAsia="zh-CN" w:bidi="ar"/>
        </w:rPr>
        <w:br w:type="page"/>
      </w:r>
    </w:p>
    <w:p w14:paraId="2C2F7FA0">
      <w:pPr>
        <w:numPr>
          <w:ilvl w:val="0"/>
          <w:numId w:val="0"/>
        </w:numPr>
        <w:rPr>
          <w:rFonts w:hint="default" w:ascii="仿宋_GB2312" w:eastAsia="仿宋_GB2312" w:cs="仿宋_GB2312"/>
          <w:kern w:val="2"/>
          <w:sz w:val="32"/>
          <w:szCs w:val="32"/>
          <w:lang w:val="en-US" w:eastAsia="zh-CN" w:bidi="ar"/>
        </w:rPr>
        <w:sectPr>
          <w:headerReference r:id="rId3" w:type="default"/>
          <w:footerReference r:id="rId4" w:type="default"/>
          <w:footerReference r:id="rId5" w:type="even"/>
          <w:pgSz w:w="11906" w:h="16838"/>
          <w:pgMar w:top="1984" w:right="1417" w:bottom="1814" w:left="1417" w:header="851" w:footer="992" w:gutter="0"/>
          <w:pgNumType w:fmt="numberInDash"/>
          <w:cols w:space="720" w:num="1"/>
          <w:docGrid w:type="lines" w:linePitch="312" w:charSpace="0"/>
        </w:sectPr>
      </w:pPr>
    </w:p>
    <w:p w14:paraId="0B967E42">
      <w:pPr>
        <w:spacing w:before="30"/>
        <w:ind w:left="45"/>
        <w:rPr>
          <w:rFonts w:hint="eastAsia" w:ascii="黑体" w:hAnsi="黑体" w:eastAsia="黑体" w:cs="黑体"/>
          <w:lang w:eastAsia="zh-CN"/>
        </w:rPr>
      </w:pPr>
      <w:r>
        <w:rPr>
          <w:rFonts w:ascii="黑体" w:hAnsi="黑体" w:eastAsia="黑体" w:cs="黑体"/>
          <w:spacing w:val="-7"/>
          <w:lang w:eastAsia="zh-CN"/>
        </w:rPr>
        <w:t>附件：</w:t>
      </w:r>
    </w:p>
    <w:p w14:paraId="40C0C1DF">
      <w:pPr>
        <w:spacing w:before="195" w:line="219" w:lineRule="auto"/>
        <w:ind w:left="4599"/>
        <w:rPr>
          <w:rFonts w:hint="eastAsia" w:ascii="宋体" w:hAnsi="宋体" w:eastAsia="宋体" w:cs="宋体"/>
          <w:sz w:val="28"/>
          <w:szCs w:val="28"/>
          <w:lang w:eastAsia="zh-CN"/>
        </w:rPr>
      </w:pPr>
      <w:r>
        <w:rPr>
          <w:rFonts w:hint="eastAsia" w:ascii="宋体" w:hAnsi="宋体" w:eastAsia="宋体" w:cs="宋体"/>
          <w:b/>
          <w:bCs/>
          <w:spacing w:val="4"/>
          <w:sz w:val="28"/>
          <w:szCs w:val="28"/>
          <w:lang w:eastAsia="zh-CN"/>
        </w:rPr>
        <w:t>营口市</w:t>
      </w:r>
      <w:r>
        <w:rPr>
          <w:rFonts w:ascii="宋体" w:hAnsi="宋体" w:eastAsia="宋体" w:cs="宋体"/>
          <w:b/>
          <w:bCs/>
          <w:spacing w:val="4"/>
          <w:sz w:val="28"/>
          <w:szCs w:val="28"/>
          <w:lang w:eastAsia="zh-CN"/>
        </w:rPr>
        <w:t>供销合作社联合社管理企业权责清单目录（试行）</w:t>
      </w:r>
    </w:p>
    <w:p w14:paraId="1F12A17D">
      <w:pPr>
        <w:spacing w:line="107" w:lineRule="exact"/>
        <w:rPr>
          <w:lang w:eastAsia="zh-CN"/>
        </w:rPr>
      </w:pPr>
    </w:p>
    <w:tbl>
      <w:tblPr>
        <w:tblStyle w:val="33"/>
        <w:tblW w:w="51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9"/>
        <w:gridCol w:w="499"/>
        <w:gridCol w:w="2361"/>
        <w:gridCol w:w="5512"/>
        <w:gridCol w:w="1219"/>
        <w:gridCol w:w="2730"/>
      </w:tblGrid>
      <w:tr w14:paraId="38E49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82" w:type="pct"/>
            <w:vAlign w:val="center"/>
          </w:tcPr>
          <w:p w14:paraId="4685D74D">
            <w:pPr>
              <w:pStyle w:val="32"/>
              <w:jc w:val="center"/>
              <w:rPr>
                <w:rFonts w:hint="eastAsia"/>
                <w:b/>
                <w:bCs/>
                <w:sz w:val="21"/>
                <w:szCs w:val="21"/>
              </w:rPr>
            </w:pPr>
            <w:r>
              <w:rPr>
                <w:rFonts w:hint="eastAsia"/>
                <w:b/>
                <w:bCs/>
                <w:spacing w:val="3"/>
                <w:sz w:val="21"/>
                <w:szCs w:val="21"/>
              </w:rPr>
              <w:t>职权类型</w:t>
            </w:r>
          </w:p>
        </w:tc>
        <w:tc>
          <w:tcPr>
            <w:tcW w:w="187" w:type="pct"/>
            <w:vAlign w:val="center"/>
          </w:tcPr>
          <w:p w14:paraId="5FD0FC7C">
            <w:pPr>
              <w:pStyle w:val="32"/>
              <w:jc w:val="center"/>
              <w:rPr>
                <w:rFonts w:hint="eastAsia"/>
                <w:b/>
                <w:bCs/>
                <w:sz w:val="21"/>
                <w:szCs w:val="21"/>
              </w:rPr>
            </w:pPr>
            <w:r>
              <w:rPr>
                <w:rFonts w:hint="eastAsia"/>
                <w:b/>
                <w:bCs/>
                <w:spacing w:val="-2"/>
                <w:sz w:val="21"/>
                <w:szCs w:val="21"/>
              </w:rPr>
              <w:t>序号</w:t>
            </w:r>
          </w:p>
        </w:tc>
        <w:tc>
          <w:tcPr>
            <w:tcW w:w="885" w:type="pct"/>
            <w:vAlign w:val="center"/>
          </w:tcPr>
          <w:p w14:paraId="3ECFDC9C">
            <w:pPr>
              <w:pStyle w:val="32"/>
              <w:jc w:val="center"/>
              <w:rPr>
                <w:rFonts w:hint="eastAsia"/>
                <w:b/>
                <w:bCs/>
                <w:sz w:val="21"/>
                <w:szCs w:val="21"/>
              </w:rPr>
            </w:pPr>
            <w:r>
              <w:rPr>
                <w:rFonts w:hint="eastAsia"/>
                <w:b/>
                <w:bCs/>
                <w:spacing w:val="2"/>
                <w:sz w:val="21"/>
                <w:szCs w:val="21"/>
              </w:rPr>
              <w:t>责任事项</w:t>
            </w:r>
          </w:p>
        </w:tc>
        <w:tc>
          <w:tcPr>
            <w:tcW w:w="2066" w:type="pct"/>
            <w:vAlign w:val="center"/>
          </w:tcPr>
          <w:p w14:paraId="66EAF4C5">
            <w:pPr>
              <w:pStyle w:val="32"/>
              <w:jc w:val="center"/>
              <w:rPr>
                <w:rFonts w:hint="eastAsia"/>
                <w:b/>
                <w:bCs/>
                <w:sz w:val="21"/>
                <w:szCs w:val="21"/>
              </w:rPr>
            </w:pPr>
            <w:r>
              <w:rPr>
                <w:rFonts w:hint="eastAsia"/>
                <w:b/>
                <w:bCs/>
                <w:spacing w:val="2"/>
                <w:sz w:val="21"/>
                <w:szCs w:val="21"/>
              </w:rPr>
              <w:t>管理措施</w:t>
            </w:r>
          </w:p>
        </w:tc>
        <w:tc>
          <w:tcPr>
            <w:tcW w:w="457" w:type="pct"/>
            <w:vAlign w:val="center"/>
          </w:tcPr>
          <w:p w14:paraId="11282F35">
            <w:pPr>
              <w:pStyle w:val="32"/>
              <w:jc w:val="center"/>
              <w:rPr>
                <w:rFonts w:hint="eastAsia" w:eastAsia="宋体"/>
                <w:b/>
                <w:bCs/>
                <w:sz w:val="21"/>
                <w:szCs w:val="21"/>
                <w:lang w:eastAsia="zh-CN"/>
              </w:rPr>
            </w:pPr>
            <w:r>
              <w:rPr>
                <w:rFonts w:hint="eastAsia"/>
                <w:b/>
                <w:bCs/>
                <w:spacing w:val="-2"/>
                <w:sz w:val="21"/>
                <w:szCs w:val="21"/>
              </w:rPr>
              <w:t>主办</w:t>
            </w:r>
            <w:r>
              <w:rPr>
                <w:rFonts w:hint="eastAsia"/>
                <w:b/>
                <w:bCs/>
                <w:spacing w:val="-2"/>
                <w:sz w:val="21"/>
                <w:szCs w:val="21"/>
                <w:lang w:eastAsia="zh-CN"/>
              </w:rPr>
              <w:t>科室</w:t>
            </w:r>
          </w:p>
        </w:tc>
        <w:tc>
          <w:tcPr>
            <w:tcW w:w="1020" w:type="pct"/>
            <w:vAlign w:val="center"/>
          </w:tcPr>
          <w:p w14:paraId="677AF0E4">
            <w:pPr>
              <w:pStyle w:val="32"/>
              <w:jc w:val="center"/>
              <w:rPr>
                <w:rFonts w:hint="eastAsia" w:eastAsia="宋体"/>
                <w:b/>
                <w:bCs/>
                <w:sz w:val="21"/>
                <w:szCs w:val="21"/>
                <w:lang w:eastAsia="zh-CN"/>
              </w:rPr>
            </w:pPr>
            <w:r>
              <w:rPr>
                <w:rFonts w:hint="eastAsia"/>
                <w:b/>
                <w:bCs/>
                <w:spacing w:val="-2"/>
                <w:sz w:val="21"/>
                <w:szCs w:val="21"/>
              </w:rPr>
              <w:t>协办</w:t>
            </w:r>
            <w:r>
              <w:rPr>
                <w:rFonts w:hint="eastAsia"/>
                <w:b/>
                <w:bCs/>
                <w:spacing w:val="-2"/>
                <w:sz w:val="21"/>
                <w:szCs w:val="21"/>
                <w:lang w:eastAsia="zh-CN"/>
              </w:rPr>
              <w:t>科室</w:t>
            </w:r>
          </w:p>
        </w:tc>
      </w:tr>
      <w:tr w14:paraId="4362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382" w:type="pct"/>
            <w:vMerge w:val="restart"/>
            <w:tcBorders>
              <w:bottom w:val="nil"/>
            </w:tcBorders>
            <w:vAlign w:val="center"/>
          </w:tcPr>
          <w:p w14:paraId="0E779043">
            <w:pPr>
              <w:jc w:val="center"/>
              <w:rPr>
                <w:rFonts w:hint="eastAsia" w:ascii="宋体" w:hAnsi="宋体" w:eastAsia="宋体" w:cs="宋体"/>
                <w:b/>
                <w:bCs/>
              </w:rPr>
            </w:pPr>
          </w:p>
          <w:p w14:paraId="120F4B98">
            <w:pPr>
              <w:jc w:val="center"/>
              <w:rPr>
                <w:rFonts w:hint="eastAsia" w:ascii="宋体" w:hAnsi="宋体" w:eastAsia="宋体" w:cs="宋体"/>
                <w:b/>
                <w:bCs/>
              </w:rPr>
            </w:pPr>
          </w:p>
          <w:p w14:paraId="3F77D2F3">
            <w:pPr>
              <w:jc w:val="center"/>
              <w:rPr>
                <w:rFonts w:hint="eastAsia" w:ascii="宋体" w:hAnsi="宋体" w:eastAsia="宋体" w:cs="宋体"/>
                <w:b/>
                <w:bCs/>
              </w:rPr>
            </w:pPr>
          </w:p>
          <w:p w14:paraId="05A04FAD">
            <w:pPr>
              <w:pStyle w:val="32"/>
              <w:ind w:left="185"/>
              <w:jc w:val="center"/>
              <w:rPr>
                <w:rFonts w:hint="eastAsia"/>
                <w:b/>
                <w:bCs/>
                <w:sz w:val="21"/>
                <w:szCs w:val="21"/>
              </w:rPr>
            </w:pPr>
            <w:r>
              <w:rPr>
                <w:rFonts w:hint="eastAsia"/>
                <w:b/>
                <w:bCs/>
                <w:spacing w:val="2"/>
                <w:sz w:val="21"/>
                <w:szCs w:val="21"/>
              </w:rPr>
              <w:t>决定类</w:t>
            </w:r>
            <w:r>
              <w:rPr>
                <w:rFonts w:hint="eastAsia"/>
                <w:b/>
                <w:bCs/>
                <w:spacing w:val="2"/>
                <w:sz w:val="21"/>
                <w:szCs w:val="21"/>
              </w:rPr>
              <w:br w:type="textWrapping"/>
            </w:r>
            <w:r>
              <w:rPr>
                <w:rFonts w:hint="eastAsia"/>
                <w:b/>
                <w:bCs/>
                <w:spacing w:val="9"/>
                <w:sz w:val="21"/>
                <w:szCs w:val="21"/>
              </w:rPr>
              <w:t>（6项）</w:t>
            </w:r>
          </w:p>
        </w:tc>
        <w:tc>
          <w:tcPr>
            <w:tcW w:w="187" w:type="pct"/>
            <w:vAlign w:val="center"/>
          </w:tcPr>
          <w:p w14:paraId="0D8824AB">
            <w:pPr>
              <w:pStyle w:val="32"/>
              <w:jc w:val="center"/>
              <w:rPr>
                <w:rFonts w:hint="eastAsia"/>
                <w:sz w:val="21"/>
                <w:szCs w:val="21"/>
              </w:rPr>
            </w:pPr>
            <w:r>
              <w:rPr>
                <w:rFonts w:hint="eastAsia"/>
                <w:sz w:val="21"/>
                <w:szCs w:val="21"/>
              </w:rPr>
              <w:t>1</w:t>
            </w:r>
          </w:p>
        </w:tc>
        <w:tc>
          <w:tcPr>
            <w:tcW w:w="885" w:type="pct"/>
            <w:vAlign w:val="center"/>
          </w:tcPr>
          <w:p w14:paraId="73400B30">
            <w:pPr>
              <w:pStyle w:val="32"/>
              <w:jc w:val="center"/>
              <w:rPr>
                <w:rFonts w:hint="eastAsia"/>
                <w:sz w:val="21"/>
                <w:szCs w:val="21"/>
                <w:lang w:eastAsia="zh-CN"/>
              </w:rPr>
            </w:pPr>
            <w:r>
              <w:rPr>
                <w:rFonts w:hint="eastAsia"/>
                <w:sz w:val="21"/>
                <w:szCs w:val="21"/>
                <w:lang w:eastAsia="zh-CN"/>
              </w:rPr>
              <w:t>社有企业“三定”方案制定、组织架构设置及修改事宜</w:t>
            </w:r>
          </w:p>
        </w:tc>
        <w:tc>
          <w:tcPr>
            <w:tcW w:w="2066" w:type="pct"/>
            <w:vAlign w:val="center"/>
          </w:tcPr>
          <w:p w14:paraId="4DACA731">
            <w:pPr>
              <w:pStyle w:val="32"/>
              <w:jc w:val="center"/>
              <w:rPr>
                <w:rFonts w:hint="eastAsia"/>
                <w:sz w:val="21"/>
                <w:szCs w:val="21"/>
                <w:lang w:eastAsia="zh-CN"/>
              </w:rPr>
            </w:pPr>
            <w:r>
              <w:rPr>
                <w:rFonts w:hint="eastAsia"/>
                <w:spacing w:val="-4"/>
                <w:sz w:val="21"/>
                <w:szCs w:val="21"/>
                <w:lang w:eastAsia="zh-CN"/>
              </w:rPr>
              <w:t>决定社有企业（公司制）法人治理结构方案，“三会一层”治理制衡体系建设，内部机构、</w:t>
            </w:r>
            <w:r>
              <w:rPr>
                <w:rFonts w:hint="eastAsia"/>
                <w:spacing w:val="-3"/>
                <w:sz w:val="21"/>
                <w:szCs w:val="21"/>
                <w:lang w:eastAsia="zh-CN"/>
              </w:rPr>
              <w:t>职责、编制设置方案。</w:t>
            </w:r>
          </w:p>
        </w:tc>
        <w:tc>
          <w:tcPr>
            <w:tcW w:w="457" w:type="pct"/>
            <w:vAlign w:val="center"/>
          </w:tcPr>
          <w:p w14:paraId="1A565A18">
            <w:pPr>
              <w:pStyle w:val="32"/>
              <w:jc w:val="center"/>
              <w:rPr>
                <w:rFonts w:hint="eastAsia"/>
                <w:sz w:val="21"/>
                <w:szCs w:val="21"/>
                <w:lang w:eastAsia="zh-CN"/>
              </w:rPr>
            </w:pPr>
            <w:r>
              <w:rPr>
                <w:rFonts w:hint="eastAsia"/>
                <w:sz w:val="21"/>
                <w:szCs w:val="21"/>
              </w:rPr>
              <w:t>人事</w:t>
            </w:r>
            <w:r>
              <w:rPr>
                <w:rFonts w:hint="eastAsia"/>
                <w:sz w:val="21"/>
                <w:szCs w:val="21"/>
                <w:lang w:eastAsia="zh-CN"/>
              </w:rPr>
              <w:t>科</w:t>
            </w:r>
          </w:p>
        </w:tc>
        <w:tc>
          <w:tcPr>
            <w:tcW w:w="1020" w:type="pct"/>
            <w:vAlign w:val="center"/>
          </w:tcPr>
          <w:p w14:paraId="6B885CE2">
            <w:pPr>
              <w:pStyle w:val="32"/>
              <w:jc w:val="center"/>
              <w:rPr>
                <w:rFonts w:hint="eastAsia"/>
                <w:sz w:val="21"/>
                <w:szCs w:val="21"/>
                <w:lang w:eastAsia="zh-CN"/>
              </w:rPr>
            </w:pPr>
            <w:r>
              <w:rPr>
                <w:rFonts w:hint="eastAsia"/>
                <w:sz w:val="21"/>
                <w:szCs w:val="21"/>
                <w:lang w:eastAsia="zh-CN"/>
              </w:rPr>
              <w:t>资产经营管理科</w:t>
            </w:r>
            <w:r>
              <w:rPr>
                <w:rFonts w:hint="eastAsia"/>
                <w:sz w:val="21"/>
                <w:szCs w:val="21"/>
                <w:lang w:eastAsia="zh-CN"/>
              </w:rPr>
              <w:br w:type="textWrapping"/>
            </w:r>
            <w:r>
              <w:rPr>
                <w:rFonts w:hint="eastAsia"/>
                <w:sz w:val="21"/>
                <w:szCs w:val="21"/>
                <w:lang w:eastAsia="zh-CN"/>
              </w:rPr>
              <w:t>机关党支部</w:t>
            </w:r>
          </w:p>
        </w:tc>
      </w:tr>
      <w:tr w14:paraId="5BCC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jc w:val="center"/>
        </w:trPr>
        <w:tc>
          <w:tcPr>
            <w:tcW w:w="382" w:type="pct"/>
            <w:vMerge w:val="continue"/>
            <w:tcBorders>
              <w:top w:val="nil"/>
              <w:bottom w:val="nil"/>
            </w:tcBorders>
            <w:vAlign w:val="center"/>
          </w:tcPr>
          <w:p w14:paraId="4A0A6D73">
            <w:pPr>
              <w:jc w:val="center"/>
              <w:rPr>
                <w:rFonts w:hint="eastAsia" w:ascii="宋体" w:hAnsi="宋体" w:eastAsia="宋体" w:cs="宋体"/>
                <w:b/>
                <w:bCs/>
                <w:lang w:eastAsia="zh-CN"/>
              </w:rPr>
            </w:pPr>
          </w:p>
        </w:tc>
        <w:tc>
          <w:tcPr>
            <w:tcW w:w="187" w:type="pct"/>
            <w:vAlign w:val="center"/>
          </w:tcPr>
          <w:p w14:paraId="6F34AF6F">
            <w:pPr>
              <w:pStyle w:val="32"/>
              <w:jc w:val="center"/>
              <w:rPr>
                <w:rFonts w:hint="eastAsia"/>
                <w:sz w:val="21"/>
                <w:szCs w:val="21"/>
              </w:rPr>
            </w:pPr>
            <w:r>
              <w:rPr>
                <w:rFonts w:hint="eastAsia"/>
                <w:sz w:val="21"/>
                <w:szCs w:val="21"/>
              </w:rPr>
              <w:t>2</w:t>
            </w:r>
          </w:p>
        </w:tc>
        <w:tc>
          <w:tcPr>
            <w:tcW w:w="885" w:type="pct"/>
            <w:vAlign w:val="center"/>
          </w:tcPr>
          <w:p w14:paraId="57FCBFEB">
            <w:pPr>
              <w:pStyle w:val="32"/>
              <w:ind w:right="34"/>
              <w:jc w:val="center"/>
              <w:rPr>
                <w:rFonts w:hint="eastAsia"/>
                <w:sz w:val="21"/>
                <w:szCs w:val="21"/>
                <w:lang w:eastAsia="zh-CN"/>
              </w:rPr>
            </w:pPr>
            <w:r>
              <w:rPr>
                <w:rFonts w:hint="eastAsia"/>
                <w:sz w:val="21"/>
                <w:szCs w:val="21"/>
                <w:lang w:eastAsia="zh-CN"/>
              </w:rPr>
              <w:t>社有企业董事、监事、高级管理人员任免及管理，高级</w:t>
            </w:r>
            <w:r>
              <w:rPr>
                <w:rFonts w:hint="eastAsia"/>
                <w:spacing w:val="-1"/>
                <w:sz w:val="21"/>
                <w:szCs w:val="21"/>
                <w:lang w:eastAsia="zh-CN"/>
              </w:rPr>
              <w:t>管理人员的市场化聘任、解聘</w:t>
            </w:r>
          </w:p>
        </w:tc>
        <w:tc>
          <w:tcPr>
            <w:tcW w:w="2066" w:type="pct"/>
            <w:vAlign w:val="center"/>
          </w:tcPr>
          <w:p w14:paraId="1C4B4D7E">
            <w:pPr>
              <w:pStyle w:val="32"/>
              <w:ind w:right="23"/>
              <w:jc w:val="center"/>
              <w:rPr>
                <w:rFonts w:hint="eastAsia"/>
                <w:sz w:val="21"/>
                <w:szCs w:val="21"/>
                <w:lang w:eastAsia="zh-CN"/>
              </w:rPr>
            </w:pPr>
            <w:r>
              <w:rPr>
                <w:rFonts w:hint="eastAsia"/>
                <w:sz w:val="21"/>
                <w:szCs w:val="21"/>
                <w:lang w:eastAsia="zh-CN"/>
              </w:rPr>
              <w:t>围绕社有企业组织架构建设目标，开展董事、监事、高级管理人员聘任工作，并做好董事、监事、高级管理人员的管理等工作。重点监督社有企业聘任、解聘高级管理人员事项的必要性、合理性以及相关薪资待遇的合规性，社有企业中层管理人员市场化聘</w:t>
            </w:r>
            <w:r>
              <w:rPr>
                <w:rFonts w:hint="eastAsia"/>
                <w:spacing w:val="-1"/>
                <w:sz w:val="21"/>
                <w:szCs w:val="21"/>
                <w:lang w:eastAsia="zh-CN"/>
              </w:rPr>
              <w:t>任、解聘需及时备案。</w:t>
            </w:r>
          </w:p>
        </w:tc>
        <w:tc>
          <w:tcPr>
            <w:tcW w:w="457" w:type="pct"/>
            <w:vAlign w:val="center"/>
          </w:tcPr>
          <w:p w14:paraId="2F139D4E">
            <w:pPr>
              <w:pStyle w:val="32"/>
              <w:jc w:val="center"/>
              <w:rPr>
                <w:rFonts w:hint="eastAsia"/>
                <w:sz w:val="21"/>
                <w:szCs w:val="21"/>
              </w:rPr>
            </w:pPr>
            <w:r>
              <w:rPr>
                <w:rFonts w:hint="eastAsia"/>
                <w:sz w:val="21"/>
                <w:szCs w:val="21"/>
              </w:rPr>
              <w:t>人事</w:t>
            </w:r>
            <w:r>
              <w:rPr>
                <w:rFonts w:hint="eastAsia"/>
                <w:sz w:val="21"/>
                <w:szCs w:val="21"/>
                <w:lang w:eastAsia="zh-CN"/>
              </w:rPr>
              <w:t>科</w:t>
            </w:r>
          </w:p>
        </w:tc>
        <w:tc>
          <w:tcPr>
            <w:tcW w:w="1020" w:type="pct"/>
            <w:vAlign w:val="center"/>
          </w:tcPr>
          <w:p w14:paraId="744C1B4C">
            <w:pPr>
              <w:pStyle w:val="32"/>
              <w:jc w:val="center"/>
              <w:rPr>
                <w:rFonts w:hint="eastAsia"/>
                <w:sz w:val="21"/>
                <w:szCs w:val="21"/>
                <w:lang w:eastAsia="zh-CN"/>
              </w:rPr>
            </w:pPr>
            <w:r>
              <w:rPr>
                <w:rFonts w:hint="eastAsia"/>
                <w:sz w:val="21"/>
                <w:szCs w:val="21"/>
                <w:lang w:eastAsia="zh-CN"/>
              </w:rPr>
              <w:t>资产经营管理科</w:t>
            </w:r>
          </w:p>
        </w:tc>
      </w:tr>
      <w:tr w14:paraId="5D39A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382" w:type="pct"/>
            <w:vMerge w:val="continue"/>
            <w:tcBorders>
              <w:top w:val="nil"/>
              <w:bottom w:val="nil"/>
            </w:tcBorders>
            <w:vAlign w:val="center"/>
          </w:tcPr>
          <w:p w14:paraId="07258DE9">
            <w:pPr>
              <w:jc w:val="center"/>
              <w:rPr>
                <w:rFonts w:hint="eastAsia" w:ascii="宋体" w:hAnsi="宋体" w:eastAsia="宋体" w:cs="宋体"/>
                <w:b/>
                <w:bCs/>
              </w:rPr>
            </w:pPr>
          </w:p>
        </w:tc>
        <w:tc>
          <w:tcPr>
            <w:tcW w:w="187" w:type="pct"/>
            <w:vAlign w:val="center"/>
          </w:tcPr>
          <w:p w14:paraId="5B580337">
            <w:pPr>
              <w:pStyle w:val="32"/>
              <w:jc w:val="center"/>
              <w:rPr>
                <w:rFonts w:hint="eastAsia"/>
                <w:sz w:val="21"/>
                <w:szCs w:val="21"/>
              </w:rPr>
            </w:pPr>
            <w:r>
              <w:rPr>
                <w:rFonts w:hint="eastAsia"/>
                <w:sz w:val="21"/>
                <w:szCs w:val="21"/>
              </w:rPr>
              <w:t>3</w:t>
            </w:r>
          </w:p>
        </w:tc>
        <w:tc>
          <w:tcPr>
            <w:tcW w:w="885" w:type="pct"/>
            <w:vAlign w:val="center"/>
          </w:tcPr>
          <w:p w14:paraId="28E5BC33">
            <w:pPr>
              <w:pStyle w:val="32"/>
              <w:jc w:val="center"/>
              <w:rPr>
                <w:rFonts w:hint="eastAsia"/>
                <w:sz w:val="21"/>
                <w:szCs w:val="21"/>
                <w:lang w:eastAsia="zh-CN"/>
              </w:rPr>
            </w:pPr>
            <w:r>
              <w:rPr>
                <w:rFonts w:hint="eastAsia"/>
                <w:spacing w:val="-1"/>
                <w:sz w:val="21"/>
                <w:szCs w:val="21"/>
                <w:lang w:eastAsia="zh-CN"/>
              </w:rPr>
              <w:t>社有企业领导班子和领导人员综合考核评价</w:t>
            </w:r>
          </w:p>
        </w:tc>
        <w:tc>
          <w:tcPr>
            <w:tcW w:w="2066" w:type="pct"/>
            <w:vAlign w:val="center"/>
          </w:tcPr>
          <w:p w14:paraId="005F21AD">
            <w:pPr>
              <w:pStyle w:val="32"/>
              <w:ind w:right="40"/>
              <w:jc w:val="center"/>
              <w:rPr>
                <w:rFonts w:hint="eastAsia"/>
                <w:sz w:val="21"/>
                <w:szCs w:val="21"/>
                <w:lang w:eastAsia="zh-CN"/>
              </w:rPr>
            </w:pPr>
            <w:r>
              <w:rPr>
                <w:rFonts w:hint="eastAsia"/>
                <w:sz w:val="21"/>
                <w:szCs w:val="21"/>
                <w:lang w:eastAsia="zh-CN"/>
              </w:rPr>
              <w:t>制定年度综合考核评价方案，确定社有企业每年重点任务，组织</w:t>
            </w:r>
            <w:r>
              <w:rPr>
                <w:rFonts w:hint="eastAsia"/>
                <w:spacing w:val="-1"/>
                <w:sz w:val="21"/>
                <w:szCs w:val="21"/>
                <w:lang w:eastAsia="zh-CN"/>
              </w:rPr>
              <w:t>开展社有企业领导班子</w:t>
            </w:r>
            <w:r>
              <w:rPr>
                <w:rFonts w:hint="eastAsia"/>
                <w:sz w:val="21"/>
                <w:szCs w:val="21"/>
                <w:lang w:eastAsia="zh-CN"/>
              </w:rPr>
              <w:t>和领导人员年度综合考核评价，形成综合考核评价报告，出具</w:t>
            </w:r>
            <w:r>
              <w:rPr>
                <w:rFonts w:hint="eastAsia"/>
                <w:spacing w:val="-1"/>
                <w:sz w:val="21"/>
                <w:szCs w:val="21"/>
                <w:lang w:eastAsia="zh-CN"/>
              </w:rPr>
              <w:t>考核评价结果。</w:t>
            </w:r>
          </w:p>
        </w:tc>
        <w:tc>
          <w:tcPr>
            <w:tcW w:w="457" w:type="pct"/>
            <w:vAlign w:val="center"/>
          </w:tcPr>
          <w:p w14:paraId="0810007D">
            <w:pPr>
              <w:pStyle w:val="32"/>
              <w:jc w:val="center"/>
              <w:rPr>
                <w:rFonts w:hint="eastAsia"/>
                <w:sz w:val="21"/>
                <w:szCs w:val="21"/>
              </w:rPr>
            </w:pPr>
            <w:r>
              <w:rPr>
                <w:rFonts w:hint="eastAsia"/>
                <w:sz w:val="21"/>
                <w:szCs w:val="21"/>
              </w:rPr>
              <w:t>人事</w:t>
            </w:r>
            <w:r>
              <w:rPr>
                <w:rFonts w:hint="eastAsia"/>
                <w:sz w:val="21"/>
                <w:szCs w:val="21"/>
                <w:lang w:eastAsia="zh-CN"/>
              </w:rPr>
              <w:t>科</w:t>
            </w:r>
          </w:p>
        </w:tc>
        <w:tc>
          <w:tcPr>
            <w:tcW w:w="1020" w:type="pct"/>
            <w:vAlign w:val="center"/>
          </w:tcPr>
          <w:p w14:paraId="00880BF7">
            <w:pPr>
              <w:pStyle w:val="32"/>
              <w:jc w:val="center"/>
              <w:rPr>
                <w:rFonts w:hint="eastAsia"/>
                <w:sz w:val="21"/>
                <w:szCs w:val="21"/>
              </w:rPr>
            </w:pPr>
            <w:r>
              <w:rPr>
                <w:rFonts w:hint="eastAsia"/>
                <w:sz w:val="21"/>
                <w:szCs w:val="21"/>
              </w:rPr>
              <w:t>相关业务</w:t>
            </w:r>
            <w:r>
              <w:rPr>
                <w:rFonts w:hint="eastAsia"/>
                <w:sz w:val="21"/>
                <w:szCs w:val="21"/>
                <w:lang w:eastAsia="zh-CN"/>
              </w:rPr>
              <w:t>科</w:t>
            </w:r>
            <w:r>
              <w:rPr>
                <w:rFonts w:hint="eastAsia"/>
                <w:sz w:val="21"/>
                <w:szCs w:val="21"/>
              </w:rPr>
              <w:t>室</w:t>
            </w:r>
          </w:p>
        </w:tc>
      </w:tr>
      <w:tr w14:paraId="79EDD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382" w:type="pct"/>
            <w:vMerge w:val="continue"/>
            <w:tcBorders>
              <w:top w:val="nil"/>
              <w:bottom w:val="nil"/>
            </w:tcBorders>
            <w:vAlign w:val="center"/>
          </w:tcPr>
          <w:p w14:paraId="0A74B3DD">
            <w:pPr>
              <w:jc w:val="center"/>
              <w:rPr>
                <w:rFonts w:hint="eastAsia" w:ascii="宋体" w:hAnsi="宋体" w:eastAsia="宋体" w:cs="宋体"/>
                <w:b/>
                <w:bCs/>
              </w:rPr>
            </w:pPr>
          </w:p>
        </w:tc>
        <w:tc>
          <w:tcPr>
            <w:tcW w:w="187" w:type="pct"/>
            <w:vAlign w:val="center"/>
          </w:tcPr>
          <w:p w14:paraId="05D4F274">
            <w:pPr>
              <w:pStyle w:val="32"/>
              <w:jc w:val="center"/>
              <w:rPr>
                <w:rFonts w:hint="eastAsia"/>
                <w:sz w:val="21"/>
                <w:szCs w:val="21"/>
              </w:rPr>
            </w:pPr>
            <w:r>
              <w:rPr>
                <w:rFonts w:hint="eastAsia"/>
                <w:sz w:val="21"/>
                <w:szCs w:val="21"/>
              </w:rPr>
              <w:t>4</w:t>
            </w:r>
          </w:p>
        </w:tc>
        <w:tc>
          <w:tcPr>
            <w:tcW w:w="885" w:type="pct"/>
            <w:vAlign w:val="center"/>
          </w:tcPr>
          <w:p w14:paraId="480EAFC6">
            <w:pPr>
              <w:pStyle w:val="32"/>
              <w:jc w:val="center"/>
              <w:rPr>
                <w:rFonts w:hint="eastAsia"/>
                <w:sz w:val="21"/>
                <w:szCs w:val="21"/>
                <w:lang w:eastAsia="zh-CN"/>
              </w:rPr>
            </w:pPr>
            <w:r>
              <w:rPr>
                <w:rFonts w:hint="eastAsia"/>
                <w:spacing w:val="1"/>
                <w:sz w:val="21"/>
                <w:szCs w:val="21"/>
                <w:lang w:eastAsia="zh-CN"/>
              </w:rPr>
              <w:t>社有企业经营业绩考核</w:t>
            </w:r>
          </w:p>
        </w:tc>
        <w:tc>
          <w:tcPr>
            <w:tcW w:w="2066" w:type="pct"/>
            <w:vAlign w:val="center"/>
          </w:tcPr>
          <w:p w14:paraId="6D7DB57D">
            <w:pPr>
              <w:pStyle w:val="32"/>
              <w:ind w:right="40"/>
              <w:jc w:val="center"/>
              <w:rPr>
                <w:rFonts w:hint="eastAsia"/>
                <w:sz w:val="21"/>
                <w:szCs w:val="21"/>
                <w:lang w:eastAsia="zh-CN"/>
              </w:rPr>
            </w:pPr>
            <w:r>
              <w:rPr>
                <w:rFonts w:hint="eastAsia"/>
                <w:sz w:val="21"/>
                <w:szCs w:val="21"/>
                <w:lang w:eastAsia="zh-CN"/>
              </w:rPr>
              <w:t>制定年度经营业绩考核方案，明确考核指标及目标值，组织开展</w:t>
            </w:r>
            <w:r>
              <w:rPr>
                <w:rFonts w:hint="eastAsia"/>
                <w:spacing w:val="-1"/>
                <w:sz w:val="21"/>
                <w:szCs w:val="21"/>
                <w:lang w:eastAsia="zh-CN"/>
              </w:rPr>
              <w:t>考核工作，依照规定对</w:t>
            </w:r>
            <w:r>
              <w:rPr>
                <w:rFonts w:hint="eastAsia"/>
                <w:sz w:val="21"/>
                <w:szCs w:val="21"/>
                <w:lang w:eastAsia="zh-CN"/>
              </w:rPr>
              <w:t>社有企业提交的年度经营业绩指标完成情况材料进行审核，并出具考</w:t>
            </w:r>
            <w:r>
              <w:rPr>
                <w:rFonts w:hint="eastAsia"/>
                <w:spacing w:val="-1"/>
                <w:sz w:val="21"/>
                <w:szCs w:val="21"/>
                <w:lang w:eastAsia="zh-CN"/>
              </w:rPr>
              <w:t>核结果意见。</w:t>
            </w:r>
          </w:p>
        </w:tc>
        <w:tc>
          <w:tcPr>
            <w:tcW w:w="457" w:type="pct"/>
            <w:vAlign w:val="center"/>
          </w:tcPr>
          <w:p w14:paraId="731C8181">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2F1AB415">
            <w:pPr>
              <w:pStyle w:val="32"/>
              <w:jc w:val="center"/>
              <w:rPr>
                <w:rFonts w:hint="eastAsia"/>
                <w:sz w:val="21"/>
                <w:szCs w:val="21"/>
                <w:lang w:eastAsia="zh-CN"/>
              </w:rPr>
            </w:pPr>
            <w:r>
              <w:rPr>
                <w:rFonts w:hint="eastAsia"/>
                <w:sz w:val="21"/>
                <w:szCs w:val="21"/>
                <w:lang w:eastAsia="zh-CN"/>
              </w:rPr>
              <w:t>监事会办公室</w:t>
            </w:r>
          </w:p>
          <w:p w14:paraId="7B3169BD">
            <w:pPr>
              <w:pStyle w:val="32"/>
              <w:jc w:val="center"/>
              <w:rPr>
                <w:rFonts w:hint="eastAsia"/>
                <w:sz w:val="21"/>
                <w:szCs w:val="21"/>
                <w:lang w:eastAsia="zh-CN"/>
              </w:rPr>
            </w:pPr>
            <w:r>
              <w:rPr>
                <w:rFonts w:hint="eastAsia"/>
                <w:sz w:val="21"/>
                <w:szCs w:val="21"/>
                <w:lang w:eastAsia="zh-CN"/>
              </w:rPr>
              <w:t>相关业务科室</w:t>
            </w:r>
          </w:p>
        </w:tc>
      </w:tr>
      <w:tr w14:paraId="4FAA8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382" w:type="pct"/>
            <w:vMerge w:val="continue"/>
            <w:tcBorders>
              <w:top w:val="nil"/>
              <w:bottom w:val="nil"/>
            </w:tcBorders>
            <w:vAlign w:val="center"/>
          </w:tcPr>
          <w:p w14:paraId="7B7ABC34">
            <w:pPr>
              <w:jc w:val="center"/>
              <w:rPr>
                <w:rFonts w:hint="eastAsia" w:ascii="宋体" w:hAnsi="宋体" w:eastAsia="宋体" w:cs="宋体"/>
                <w:b/>
                <w:bCs/>
                <w:lang w:eastAsia="zh-CN"/>
              </w:rPr>
            </w:pPr>
          </w:p>
        </w:tc>
        <w:tc>
          <w:tcPr>
            <w:tcW w:w="187" w:type="pct"/>
            <w:vAlign w:val="center"/>
          </w:tcPr>
          <w:p w14:paraId="099ABFB4">
            <w:pPr>
              <w:pStyle w:val="32"/>
              <w:jc w:val="center"/>
              <w:rPr>
                <w:rFonts w:hint="eastAsia"/>
                <w:sz w:val="21"/>
                <w:szCs w:val="21"/>
              </w:rPr>
            </w:pPr>
            <w:r>
              <w:rPr>
                <w:rFonts w:hint="eastAsia"/>
                <w:sz w:val="21"/>
                <w:szCs w:val="21"/>
              </w:rPr>
              <w:t>5</w:t>
            </w:r>
          </w:p>
        </w:tc>
        <w:tc>
          <w:tcPr>
            <w:tcW w:w="885" w:type="pct"/>
            <w:vAlign w:val="center"/>
          </w:tcPr>
          <w:p w14:paraId="02521F22">
            <w:pPr>
              <w:pStyle w:val="32"/>
              <w:jc w:val="center"/>
              <w:rPr>
                <w:rFonts w:hint="eastAsia"/>
                <w:sz w:val="21"/>
                <w:szCs w:val="21"/>
                <w:lang w:eastAsia="zh-CN"/>
              </w:rPr>
            </w:pPr>
            <w:r>
              <w:rPr>
                <w:rFonts w:hint="eastAsia"/>
                <w:spacing w:val="-1"/>
                <w:sz w:val="21"/>
                <w:szCs w:val="21"/>
                <w:lang w:eastAsia="zh-CN"/>
              </w:rPr>
              <w:t>社有企业负责人薪酬管理</w:t>
            </w:r>
          </w:p>
        </w:tc>
        <w:tc>
          <w:tcPr>
            <w:tcW w:w="2066" w:type="pct"/>
            <w:vAlign w:val="center"/>
          </w:tcPr>
          <w:p w14:paraId="36245DD9">
            <w:pPr>
              <w:pStyle w:val="32"/>
              <w:ind w:right="17"/>
              <w:jc w:val="center"/>
              <w:rPr>
                <w:rFonts w:hint="eastAsia"/>
                <w:sz w:val="21"/>
                <w:szCs w:val="21"/>
                <w:lang w:eastAsia="zh-CN"/>
              </w:rPr>
            </w:pPr>
            <w:r>
              <w:rPr>
                <w:rFonts w:hint="eastAsia"/>
                <w:sz w:val="21"/>
                <w:szCs w:val="21"/>
                <w:lang w:eastAsia="zh-CN"/>
              </w:rPr>
              <w:t>制定社有企业工资总额管理办法和薪酬管理办法，明确薪酬标准；依据年度考核结果确</w:t>
            </w:r>
            <w:r>
              <w:rPr>
                <w:rFonts w:hint="eastAsia"/>
                <w:spacing w:val="-1"/>
                <w:sz w:val="21"/>
                <w:szCs w:val="21"/>
                <w:lang w:eastAsia="zh-CN"/>
              </w:rPr>
              <w:t>定年度绩效工资。</w:t>
            </w:r>
          </w:p>
        </w:tc>
        <w:tc>
          <w:tcPr>
            <w:tcW w:w="457" w:type="pct"/>
            <w:vAlign w:val="center"/>
          </w:tcPr>
          <w:p w14:paraId="62E5D7FE">
            <w:pPr>
              <w:pStyle w:val="32"/>
              <w:jc w:val="center"/>
              <w:rPr>
                <w:rFonts w:hint="eastAsia"/>
                <w:sz w:val="21"/>
                <w:szCs w:val="21"/>
              </w:rPr>
            </w:pPr>
            <w:r>
              <w:rPr>
                <w:rFonts w:hint="eastAsia"/>
                <w:sz w:val="21"/>
                <w:szCs w:val="21"/>
              </w:rPr>
              <w:t>人事</w:t>
            </w:r>
            <w:r>
              <w:rPr>
                <w:rFonts w:hint="eastAsia"/>
                <w:sz w:val="21"/>
                <w:szCs w:val="21"/>
                <w:lang w:eastAsia="zh-CN"/>
              </w:rPr>
              <w:t>科</w:t>
            </w:r>
          </w:p>
        </w:tc>
        <w:tc>
          <w:tcPr>
            <w:tcW w:w="1020" w:type="pct"/>
            <w:vAlign w:val="center"/>
          </w:tcPr>
          <w:p w14:paraId="36B279B3">
            <w:pPr>
              <w:pStyle w:val="32"/>
              <w:jc w:val="center"/>
              <w:rPr>
                <w:rFonts w:hint="eastAsia"/>
                <w:sz w:val="21"/>
                <w:szCs w:val="21"/>
                <w:lang w:eastAsia="zh-CN"/>
              </w:rPr>
            </w:pPr>
            <w:r>
              <w:rPr>
                <w:rFonts w:hint="eastAsia"/>
                <w:sz w:val="21"/>
                <w:szCs w:val="21"/>
                <w:lang w:eastAsia="zh-CN"/>
              </w:rPr>
              <w:t>资产经营管理科</w:t>
            </w:r>
            <w:r>
              <w:rPr>
                <w:rFonts w:hint="eastAsia"/>
                <w:sz w:val="21"/>
                <w:szCs w:val="21"/>
                <w:lang w:eastAsia="zh-CN"/>
              </w:rPr>
              <w:br w:type="textWrapping"/>
            </w:r>
            <w:r>
              <w:rPr>
                <w:rFonts w:hint="eastAsia"/>
                <w:sz w:val="21"/>
                <w:szCs w:val="21"/>
                <w:lang w:eastAsia="zh-CN"/>
              </w:rPr>
              <w:t>机关党支部</w:t>
            </w:r>
          </w:p>
        </w:tc>
      </w:tr>
      <w:tr w14:paraId="6A97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jc w:val="center"/>
        </w:trPr>
        <w:tc>
          <w:tcPr>
            <w:tcW w:w="382" w:type="pct"/>
            <w:vMerge w:val="continue"/>
            <w:tcBorders>
              <w:top w:val="nil"/>
            </w:tcBorders>
            <w:vAlign w:val="center"/>
          </w:tcPr>
          <w:p w14:paraId="7841AC68">
            <w:pPr>
              <w:jc w:val="center"/>
              <w:rPr>
                <w:rFonts w:hint="eastAsia" w:ascii="宋体" w:hAnsi="宋体" w:eastAsia="宋体" w:cs="宋体"/>
                <w:b/>
                <w:bCs/>
                <w:lang w:eastAsia="zh-CN"/>
              </w:rPr>
            </w:pPr>
          </w:p>
        </w:tc>
        <w:tc>
          <w:tcPr>
            <w:tcW w:w="187" w:type="pct"/>
            <w:vAlign w:val="center"/>
          </w:tcPr>
          <w:p w14:paraId="006E438B">
            <w:pPr>
              <w:pStyle w:val="32"/>
              <w:jc w:val="center"/>
              <w:rPr>
                <w:rFonts w:hint="eastAsia"/>
                <w:sz w:val="21"/>
                <w:szCs w:val="21"/>
              </w:rPr>
            </w:pPr>
            <w:r>
              <w:rPr>
                <w:rFonts w:hint="eastAsia"/>
                <w:sz w:val="21"/>
                <w:szCs w:val="21"/>
              </w:rPr>
              <w:t>6</w:t>
            </w:r>
          </w:p>
        </w:tc>
        <w:tc>
          <w:tcPr>
            <w:tcW w:w="885" w:type="pct"/>
            <w:vAlign w:val="center"/>
          </w:tcPr>
          <w:p w14:paraId="4EBCBDC6">
            <w:pPr>
              <w:pStyle w:val="32"/>
              <w:jc w:val="center"/>
              <w:rPr>
                <w:rFonts w:hint="eastAsia"/>
                <w:sz w:val="21"/>
                <w:szCs w:val="21"/>
                <w:lang w:eastAsia="zh-CN"/>
              </w:rPr>
            </w:pPr>
            <w:r>
              <w:rPr>
                <w:rFonts w:hint="eastAsia"/>
                <w:sz w:val="21"/>
                <w:szCs w:val="21"/>
                <w:lang w:eastAsia="zh-CN"/>
              </w:rPr>
              <w:t>社有企业党员干部党纪处分事项</w:t>
            </w:r>
          </w:p>
        </w:tc>
        <w:tc>
          <w:tcPr>
            <w:tcW w:w="2066" w:type="pct"/>
            <w:vAlign w:val="center"/>
          </w:tcPr>
          <w:p w14:paraId="2E4CDFA6">
            <w:pPr>
              <w:pStyle w:val="32"/>
              <w:jc w:val="center"/>
              <w:rPr>
                <w:rFonts w:hint="eastAsia"/>
                <w:sz w:val="21"/>
                <w:szCs w:val="21"/>
                <w:lang w:eastAsia="zh-CN"/>
              </w:rPr>
            </w:pPr>
            <w:r>
              <w:rPr>
                <w:rFonts w:hint="eastAsia"/>
                <w:sz w:val="21"/>
                <w:szCs w:val="21"/>
                <w:lang w:eastAsia="zh-CN"/>
              </w:rPr>
              <w:t>根据有关方面发现或移交的问题线索组织开展调查，进行责任认</w:t>
            </w:r>
            <w:r>
              <w:rPr>
                <w:rFonts w:hint="eastAsia"/>
                <w:spacing w:val="-1"/>
                <w:sz w:val="21"/>
                <w:szCs w:val="21"/>
                <w:lang w:eastAsia="zh-CN"/>
              </w:rPr>
              <w:t>定，根据干部管理权</w:t>
            </w:r>
            <w:r>
              <w:rPr>
                <w:rFonts w:hint="eastAsia"/>
                <w:sz w:val="21"/>
                <w:szCs w:val="21"/>
                <w:lang w:eastAsia="zh-CN"/>
              </w:rPr>
              <w:t>限，组织对社有企业党员干部党纪处分事项进行审议，提出意见，按程序报批。做出责</w:t>
            </w:r>
            <w:r>
              <w:rPr>
                <w:rFonts w:hint="eastAsia"/>
                <w:spacing w:val="1"/>
                <w:sz w:val="21"/>
                <w:szCs w:val="21"/>
                <w:lang w:eastAsia="zh-CN"/>
              </w:rPr>
              <w:t>任追究处理决定；组织落实处理决定并督促整改、监督</w:t>
            </w:r>
            <w:r>
              <w:rPr>
                <w:rFonts w:hint="eastAsia"/>
                <w:sz w:val="21"/>
                <w:szCs w:val="21"/>
                <w:lang w:eastAsia="zh-CN"/>
              </w:rPr>
              <w:t>检查执行情况；对责任人的申</w:t>
            </w:r>
            <w:r>
              <w:rPr>
                <w:rFonts w:hint="eastAsia"/>
                <w:spacing w:val="-1"/>
                <w:sz w:val="21"/>
                <w:szCs w:val="21"/>
                <w:lang w:eastAsia="zh-CN"/>
              </w:rPr>
              <w:t>诉，组织复查和处理。</w:t>
            </w:r>
          </w:p>
        </w:tc>
        <w:tc>
          <w:tcPr>
            <w:tcW w:w="457" w:type="pct"/>
            <w:vAlign w:val="center"/>
          </w:tcPr>
          <w:p w14:paraId="4126FB67">
            <w:pPr>
              <w:pStyle w:val="32"/>
              <w:jc w:val="center"/>
              <w:rPr>
                <w:rFonts w:hint="eastAsia"/>
                <w:sz w:val="21"/>
                <w:szCs w:val="21"/>
                <w:lang w:eastAsia="zh-CN"/>
              </w:rPr>
            </w:pPr>
            <w:r>
              <w:rPr>
                <w:rFonts w:hint="eastAsia"/>
                <w:sz w:val="21"/>
                <w:szCs w:val="21"/>
                <w:lang w:eastAsia="zh-CN"/>
              </w:rPr>
              <w:t>机关党支部</w:t>
            </w:r>
          </w:p>
        </w:tc>
        <w:tc>
          <w:tcPr>
            <w:tcW w:w="1020" w:type="pct"/>
            <w:vAlign w:val="center"/>
          </w:tcPr>
          <w:p w14:paraId="3A7EFB87">
            <w:pPr>
              <w:pStyle w:val="32"/>
              <w:jc w:val="center"/>
              <w:rPr>
                <w:rFonts w:hint="eastAsia"/>
                <w:sz w:val="21"/>
                <w:szCs w:val="21"/>
                <w:lang w:eastAsia="zh-CN"/>
              </w:rPr>
            </w:pPr>
            <w:r>
              <w:rPr>
                <w:rFonts w:hint="eastAsia"/>
                <w:sz w:val="21"/>
                <w:szCs w:val="21"/>
                <w:lang w:eastAsia="zh-CN"/>
              </w:rPr>
              <w:t>人事科</w:t>
            </w:r>
            <w:r>
              <w:rPr>
                <w:rFonts w:hint="eastAsia"/>
                <w:sz w:val="21"/>
                <w:szCs w:val="21"/>
                <w:lang w:eastAsia="zh-CN"/>
              </w:rPr>
              <w:br w:type="textWrapping"/>
            </w:r>
            <w:r>
              <w:rPr>
                <w:rFonts w:hint="eastAsia"/>
                <w:sz w:val="21"/>
                <w:szCs w:val="21"/>
                <w:lang w:eastAsia="zh-CN"/>
              </w:rPr>
              <w:t>资产经营管理科</w:t>
            </w:r>
          </w:p>
        </w:tc>
      </w:tr>
      <w:tr w14:paraId="696F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382" w:type="pct"/>
            <w:vMerge w:val="restart"/>
            <w:vAlign w:val="center"/>
          </w:tcPr>
          <w:p w14:paraId="7296F3BC">
            <w:pPr>
              <w:jc w:val="center"/>
              <w:rPr>
                <w:rFonts w:hint="eastAsia" w:ascii="宋体" w:hAnsi="宋体" w:eastAsia="宋体" w:cs="宋体"/>
                <w:b/>
                <w:bCs/>
                <w:lang w:eastAsia="zh-CN"/>
              </w:rPr>
            </w:pPr>
          </w:p>
          <w:p w14:paraId="096C020A">
            <w:pPr>
              <w:pStyle w:val="32"/>
              <w:ind w:left="185"/>
              <w:jc w:val="center"/>
              <w:rPr>
                <w:rFonts w:hint="eastAsia"/>
                <w:b/>
                <w:bCs/>
                <w:spacing w:val="8"/>
                <w:sz w:val="21"/>
                <w:szCs w:val="21"/>
              </w:rPr>
            </w:pPr>
            <w:r>
              <w:rPr>
                <w:rFonts w:hint="eastAsia"/>
                <w:b/>
                <w:bCs/>
                <w:spacing w:val="2"/>
                <w:sz w:val="21"/>
                <w:szCs w:val="21"/>
                <w:lang w:eastAsia="zh-CN"/>
              </w:rPr>
              <w:t>批准</w:t>
            </w:r>
            <w:r>
              <w:rPr>
                <w:rFonts w:hint="eastAsia"/>
                <w:b/>
                <w:bCs/>
                <w:spacing w:val="2"/>
                <w:sz w:val="21"/>
                <w:szCs w:val="21"/>
              </w:rPr>
              <w:t>类</w:t>
            </w:r>
            <w:r>
              <w:rPr>
                <w:rFonts w:hint="eastAsia"/>
                <w:b/>
                <w:bCs/>
                <w:spacing w:val="2"/>
                <w:sz w:val="21"/>
                <w:szCs w:val="21"/>
              </w:rPr>
              <w:br w:type="textWrapping"/>
            </w:r>
            <w:r>
              <w:rPr>
                <w:rFonts w:hint="eastAsia"/>
                <w:b/>
                <w:bCs/>
                <w:spacing w:val="8"/>
                <w:sz w:val="21"/>
                <w:szCs w:val="21"/>
              </w:rPr>
              <w:t>（11项）</w:t>
            </w:r>
          </w:p>
          <w:p w14:paraId="0408BBB4">
            <w:pPr>
              <w:jc w:val="center"/>
              <w:rPr>
                <w:rFonts w:hint="eastAsia" w:ascii="宋体" w:hAnsi="宋体" w:eastAsia="宋体" w:cs="宋体"/>
                <w:b/>
                <w:bCs/>
              </w:rPr>
            </w:pPr>
          </w:p>
          <w:p w14:paraId="25D546CA">
            <w:pPr>
              <w:jc w:val="center"/>
              <w:rPr>
                <w:rFonts w:hint="eastAsia" w:ascii="宋体" w:hAnsi="宋体" w:eastAsia="宋体" w:cs="宋体"/>
                <w:b/>
                <w:bCs/>
              </w:rPr>
            </w:pPr>
          </w:p>
          <w:p w14:paraId="0009D8D5">
            <w:pPr>
              <w:jc w:val="center"/>
              <w:rPr>
                <w:rFonts w:hint="eastAsia" w:ascii="宋体" w:hAnsi="宋体" w:eastAsia="宋体" w:cs="宋体"/>
                <w:b/>
                <w:bCs/>
              </w:rPr>
            </w:pPr>
          </w:p>
          <w:p w14:paraId="3074B53E">
            <w:pPr>
              <w:pStyle w:val="32"/>
              <w:jc w:val="center"/>
              <w:rPr>
                <w:rFonts w:hint="eastAsia"/>
                <w:b/>
                <w:bCs/>
                <w:sz w:val="21"/>
                <w:szCs w:val="21"/>
              </w:rPr>
            </w:pPr>
          </w:p>
        </w:tc>
        <w:tc>
          <w:tcPr>
            <w:tcW w:w="187" w:type="pct"/>
            <w:vAlign w:val="center"/>
          </w:tcPr>
          <w:p w14:paraId="223C848C">
            <w:pPr>
              <w:pStyle w:val="32"/>
              <w:jc w:val="center"/>
              <w:rPr>
                <w:rFonts w:hint="eastAsia"/>
                <w:sz w:val="21"/>
                <w:szCs w:val="21"/>
              </w:rPr>
            </w:pPr>
            <w:r>
              <w:rPr>
                <w:rFonts w:hint="eastAsia"/>
                <w:sz w:val="21"/>
                <w:szCs w:val="21"/>
              </w:rPr>
              <w:t>1</w:t>
            </w:r>
          </w:p>
        </w:tc>
        <w:tc>
          <w:tcPr>
            <w:tcW w:w="885" w:type="pct"/>
            <w:vAlign w:val="center"/>
          </w:tcPr>
          <w:p w14:paraId="1DC7BE54">
            <w:pPr>
              <w:pStyle w:val="32"/>
              <w:jc w:val="center"/>
              <w:rPr>
                <w:rFonts w:hint="eastAsia"/>
                <w:sz w:val="21"/>
                <w:szCs w:val="21"/>
                <w:lang w:eastAsia="zh-CN"/>
              </w:rPr>
            </w:pPr>
            <w:r>
              <w:rPr>
                <w:rFonts w:hint="eastAsia"/>
                <w:sz w:val="21"/>
                <w:szCs w:val="21"/>
                <w:lang w:eastAsia="zh-CN"/>
              </w:rPr>
              <w:t>社有企业章程管理和主营业务设定</w:t>
            </w:r>
          </w:p>
        </w:tc>
        <w:tc>
          <w:tcPr>
            <w:tcW w:w="2066" w:type="pct"/>
            <w:vAlign w:val="center"/>
          </w:tcPr>
          <w:p w14:paraId="3CE4E730">
            <w:pPr>
              <w:pStyle w:val="32"/>
              <w:jc w:val="center"/>
              <w:rPr>
                <w:rFonts w:hint="eastAsia"/>
                <w:sz w:val="21"/>
                <w:szCs w:val="21"/>
                <w:lang w:eastAsia="zh-CN"/>
              </w:rPr>
            </w:pPr>
            <w:r>
              <w:rPr>
                <w:rFonts w:hint="eastAsia"/>
                <w:spacing w:val="-1"/>
                <w:sz w:val="21"/>
                <w:szCs w:val="21"/>
                <w:lang w:eastAsia="zh-CN"/>
              </w:rPr>
              <w:t>批准社有企业章程的制定及修订，主营业务设定及调整。</w:t>
            </w:r>
          </w:p>
        </w:tc>
        <w:tc>
          <w:tcPr>
            <w:tcW w:w="457" w:type="pct"/>
            <w:vAlign w:val="center"/>
          </w:tcPr>
          <w:p w14:paraId="6DCBF2F8">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093153AB">
            <w:pPr>
              <w:pStyle w:val="32"/>
              <w:jc w:val="center"/>
              <w:rPr>
                <w:rFonts w:hint="eastAsia"/>
                <w:sz w:val="21"/>
                <w:szCs w:val="21"/>
                <w:lang w:eastAsia="zh-CN"/>
              </w:rPr>
            </w:pPr>
            <w:r>
              <w:rPr>
                <w:rFonts w:hint="eastAsia"/>
                <w:sz w:val="21"/>
                <w:szCs w:val="21"/>
                <w:lang w:eastAsia="zh-CN"/>
              </w:rPr>
              <w:t>机关党支部</w:t>
            </w:r>
            <w:r>
              <w:rPr>
                <w:sz w:val="21"/>
                <w:szCs w:val="21"/>
                <w:lang w:eastAsia="zh-CN"/>
              </w:rPr>
              <w:br w:type="textWrapping"/>
            </w:r>
            <w:r>
              <w:rPr>
                <w:rFonts w:hint="eastAsia"/>
                <w:sz w:val="21"/>
                <w:szCs w:val="21"/>
                <w:lang w:eastAsia="zh-CN"/>
              </w:rPr>
              <w:t>相关业务科室</w:t>
            </w:r>
          </w:p>
        </w:tc>
      </w:tr>
      <w:tr w14:paraId="67A8A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382" w:type="pct"/>
            <w:vMerge w:val="continue"/>
            <w:vAlign w:val="center"/>
          </w:tcPr>
          <w:p w14:paraId="428D9B95">
            <w:pPr>
              <w:jc w:val="center"/>
              <w:rPr>
                <w:rFonts w:hint="eastAsia" w:ascii="宋体" w:hAnsi="宋体" w:eastAsia="宋体" w:cs="宋体"/>
                <w:b/>
                <w:bCs/>
                <w:lang w:eastAsia="zh-CN"/>
              </w:rPr>
            </w:pPr>
          </w:p>
        </w:tc>
        <w:tc>
          <w:tcPr>
            <w:tcW w:w="187" w:type="pct"/>
            <w:vAlign w:val="center"/>
          </w:tcPr>
          <w:p w14:paraId="775FEAFD">
            <w:pPr>
              <w:pStyle w:val="32"/>
              <w:jc w:val="center"/>
              <w:rPr>
                <w:rFonts w:hint="eastAsia"/>
                <w:sz w:val="21"/>
                <w:szCs w:val="21"/>
              </w:rPr>
            </w:pPr>
            <w:r>
              <w:rPr>
                <w:rFonts w:hint="eastAsia"/>
                <w:sz w:val="21"/>
                <w:szCs w:val="21"/>
              </w:rPr>
              <w:t>2</w:t>
            </w:r>
          </w:p>
        </w:tc>
        <w:tc>
          <w:tcPr>
            <w:tcW w:w="885" w:type="pct"/>
            <w:vAlign w:val="center"/>
          </w:tcPr>
          <w:p w14:paraId="26A23663">
            <w:pPr>
              <w:pStyle w:val="32"/>
              <w:ind w:right="54"/>
              <w:jc w:val="center"/>
              <w:rPr>
                <w:rFonts w:hint="eastAsia"/>
                <w:sz w:val="21"/>
                <w:szCs w:val="21"/>
                <w:lang w:eastAsia="zh-CN"/>
              </w:rPr>
            </w:pPr>
            <w:r>
              <w:rPr>
                <w:rFonts w:hint="eastAsia"/>
                <w:spacing w:val="-1"/>
                <w:sz w:val="21"/>
                <w:szCs w:val="21"/>
                <w:lang w:eastAsia="zh-CN"/>
              </w:rPr>
              <w:t>社有企业发展战略、中长期发展规划和重大改革方案管</w:t>
            </w:r>
            <w:r>
              <w:rPr>
                <w:rFonts w:hint="eastAsia"/>
                <w:sz w:val="21"/>
                <w:szCs w:val="21"/>
                <w:lang w:eastAsia="zh-CN"/>
              </w:rPr>
              <w:t>理</w:t>
            </w:r>
          </w:p>
        </w:tc>
        <w:tc>
          <w:tcPr>
            <w:tcW w:w="2066" w:type="pct"/>
            <w:vAlign w:val="center"/>
          </w:tcPr>
          <w:p w14:paraId="353C1AEE">
            <w:pPr>
              <w:pStyle w:val="32"/>
              <w:jc w:val="center"/>
              <w:rPr>
                <w:rFonts w:hint="eastAsia"/>
                <w:sz w:val="21"/>
                <w:szCs w:val="21"/>
                <w:lang w:eastAsia="zh-CN"/>
              </w:rPr>
            </w:pPr>
            <w:r>
              <w:rPr>
                <w:rFonts w:hint="eastAsia"/>
                <w:spacing w:val="1"/>
                <w:sz w:val="21"/>
                <w:szCs w:val="21"/>
                <w:lang w:eastAsia="zh-CN"/>
              </w:rPr>
              <w:t>批准社有企业发展战略、中长期规划制定或调整、分类推进社有企业</w:t>
            </w:r>
            <w:r>
              <w:rPr>
                <w:rFonts w:hint="eastAsia"/>
                <w:sz w:val="21"/>
                <w:szCs w:val="21"/>
                <w:lang w:eastAsia="zh-CN"/>
              </w:rPr>
              <w:t>改革的重要方案、</w:t>
            </w:r>
            <w:r>
              <w:rPr>
                <w:rFonts w:hint="eastAsia"/>
                <w:spacing w:val="-2"/>
                <w:sz w:val="21"/>
                <w:szCs w:val="21"/>
                <w:lang w:eastAsia="zh-CN"/>
              </w:rPr>
              <w:t>跟踪督促落实情况。</w:t>
            </w:r>
          </w:p>
        </w:tc>
        <w:tc>
          <w:tcPr>
            <w:tcW w:w="457" w:type="pct"/>
            <w:vAlign w:val="center"/>
          </w:tcPr>
          <w:p w14:paraId="5370A60A">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02B15B34">
            <w:pPr>
              <w:pStyle w:val="32"/>
              <w:jc w:val="center"/>
              <w:rPr>
                <w:rFonts w:hint="eastAsia"/>
                <w:sz w:val="21"/>
                <w:szCs w:val="21"/>
              </w:rPr>
            </w:pPr>
            <w:r>
              <w:rPr>
                <w:rFonts w:hint="eastAsia"/>
                <w:sz w:val="21"/>
                <w:szCs w:val="21"/>
              </w:rPr>
              <w:t>相关</w:t>
            </w:r>
            <w:r>
              <w:rPr>
                <w:rFonts w:hint="eastAsia"/>
                <w:sz w:val="21"/>
                <w:szCs w:val="21"/>
                <w:lang w:eastAsia="zh-CN"/>
              </w:rPr>
              <w:t>业务科</w:t>
            </w:r>
            <w:r>
              <w:rPr>
                <w:rFonts w:hint="eastAsia"/>
                <w:sz w:val="21"/>
                <w:szCs w:val="21"/>
              </w:rPr>
              <w:t>室</w:t>
            </w:r>
          </w:p>
        </w:tc>
      </w:tr>
      <w:tr w14:paraId="4168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jc w:val="center"/>
        </w:trPr>
        <w:tc>
          <w:tcPr>
            <w:tcW w:w="382" w:type="pct"/>
            <w:vMerge w:val="continue"/>
            <w:vAlign w:val="center"/>
          </w:tcPr>
          <w:p w14:paraId="2A02D9A8">
            <w:pPr>
              <w:jc w:val="center"/>
              <w:rPr>
                <w:rFonts w:hint="eastAsia" w:ascii="宋体" w:hAnsi="宋体" w:eastAsia="宋体" w:cs="宋体"/>
                <w:b/>
                <w:bCs/>
              </w:rPr>
            </w:pPr>
          </w:p>
        </w:tc>
        <w:tc>
          <w:tcPr>
            <w:tcW w:w="187" w:type="pct"/>
            <w:vAlign w:val="center"/>
          </w:tcPr>
          <w:p w14:paraId="629742DA">
            <w:pPr>
              <w:pStyle w:val="32"/>
              <w:jc w:val="center"/>
              <w:rPr>
                <w:rFonts w:hint="eastAsia"/>
                <w:sz w:val="21"/>
                <w:szCs w:val="21"/>
              </w:rPr>
            </w:pPr>
            <w:r>
              <w:rPr>
                <w:rFonts w:hint="eastAsia"/>
                <w:sz w:val="21"/>
                <w:szCs w:val="21"/>
              </w:rPr>
              <w:t>3</w:t>
            </w:r>
          </w:p>
        </w:tc>
        <w:tc>
          <w:tcPr>
            <w:tcW w:w="885" w:type="pct"/>
            <w:vAlign w:val="center"/>
          </w:tcPr>
          <w:p w14:paraId="25E302DC">
            <w:pPr>
              <w:pStyle w:val="32"/>
              <w:jc w:val="center"/>
              <w:rPr>
                <w:rFonts w:hint="eastAsia"/>
                <w:sz w:val="21"/>
                <w:szCs w:val="21"/>
                <w:lang w:eastAsia="zh-CN"/>
              </w:rPr>
            </w:pPr>
            <w:r>
              <w:rPr>
                <w:rFonts w:hint="eastAsia"/>
                <w:spacing w:val="2"/>
                <w:sz w:val="21"/>
                <w:szCs w:val="21"/>
                <w:lang w:eastAsia="zh-CN"/>
              </w:rPr>
              <w:t>社有企业及其出资企业、托管企业重组、改制</w:t>
            </w:r>
            <w:r>
              <w:rPr>
                <w:rFonts w:hint="eastAsia"/>
                <w:spacing w:val="1"/>
                <w:sz w:val="21"/>
                <w:szCs w:val="21"/>
                <w:lang w:eastAsia="zh-CN"/>
              </w:rPr>
              <w:t>、上市、</w:t>
            </w:r>
            <w:r>
              <w:rPr>
                <w:rFonts w:hint="eastAsia"/>
                <w:spacing w:val="-3"/>
                <w:sz w:val="21"/>
                <w:szCs w:val="21"/>
                <w:lang w:eastAsia="zh-CN"/>
              </w:rPr>
              <w:t>合并、分立、解散、清算</w:t>
            </w:r>
          </w:p>
        </w:tc>
        <w:tc>
          <w:tcPr>
            <w:tcW w:w="2066" w:type="pct"/>
            <w:vAlign w:val="center"/>
          </w:tcPr>
          <w:p w14:paraId="05ECD90C">
            <w:pPr>
              <w:pStyle w:val="32"/>
              <w:ind w:right="23"/>
              <w:jc w:val="center"/>
              <w:rPr>
                <w:rFonts w:hint="eastAsia"/>
                <w:sz w:val="21"/>
                <w:szCs w:val="21"/>
                <w:lang w:eastAsia="zh-CN"/>
              </w:rPr>
            </w:pPr>
            <w:r>
              <w:rPr>
                <w:rFonts w:hint="eastAsia"/>
                <w:sz w:val="21"/>
                <w:szCs w:val="21"/>
                <w:lang w:eastAsia="zh-CN"/>
              </w:rPr>
              <w:t>批准社有企业及其出资企业、托管企业的重组、改制、上市、合并、分立、解散、清算</w:t>
            </w:r>
            <w:r>
              <w:rPr>
                <w:rFonts w:hint="eastAsia"/>
                <w:spacing w:val="-1"/>
                <w:sz w:val="21"/>
                <w:szCs w:val="21"/>
                <w:lang w:eastAsia="zh-CN"/>
              </w:rPr>
              <w:t>方案，组织开展合法合规性审查，跟踪监督实施。</w:t>
            </w:r>
          </w:p>
        </w:tc>
        <w:tc>
          <w:tcPr>
            <w:tcW w:w="457" w:type="pct"/>
            <w:vAlign w:val="center"/>
          </w:tcPr>
          <w:p w14:paraId="396966EC">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683B7AA5">
            <w:pPr>
              <w:pStyle w:val="32"/>
              <w:jc w:val="center"/>
              <w:rPr>
                <w:rFonts w:hint="eastAsia"/>
                <w:sz w:val="21"/>
                <w:szCs w:val="21"/>
                <w:lang w:eastAsia="zh-CN"/>
              </w:rPr>
            </w:pPr>
            <w:r>
              <w:rPr>
                <w:rFonts w:hint="eastAsia"/>
                <w:sz w:val="21"/>
                <w:szCs w:val="21"/>
                <w:lang w:eastAsia="zh-CN"/>
              </w:rPr>
              <w:t>监事会办公室</w:t>
            </w:r>
          </w:p>
        </w:tc>
      </w:tr>
      <w:tr w14:paraId="57C6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jc w:val="center"/>
        </w:trPr>
        <w:tc>
          <w:tcPr>
            <w:tcW w:w="382" w:type="pct"/>
            <w:vMerge w:val="continue"/>
            <w:vAlign w:val="center"/>
          </w:tcPr>
          <w:p w14:paraId="35144E8C">
            <w:pPr>
              <w:jc w:val="center"/>
              <w:rPr>
                <w:rFonts w:hint="eastAsia" w:ascii="宋体" w:hAnsi="宋体" w:eastAsia="宋体" w:cs="宋体"/>
                <w:b/>
                <w:bCs/>
                <w:lang w:eastAsia="zh-CN"/>
              </w:rPr>
            </w:pPr>
          </w:p>
        </w:tc>
        <w:tc>
          <w:tcPr>
            <w:tcW w:w="187" w:type="pct"/>
            <w:vAlign w:val="center"/>
          </w:tcPr>
          <w:p w14:paraId="3DE17E40">
            <w:pPr>
              <w:pStyle w:val="32"/>
              <w:jc w:val="center"/>
              <w:rPr>
                <w:rFonts w:hint="eastAsia"/>
                <w:sz w:val="21"/>
                <w:szCs w:val="21"/>
              </w:rPr>
            </w:pPr>
            <w:r>
              <w:rPr>
                <w:rFonts w:hint="eastAsia"/>
                <w:sz w:val="21"/>
                <w:szCs w:val="21"/>
              </w:rPr>
              <w:t>4</w:t>
            </w:r>
          </w:p>
        </w:tc>
        <w:tc>
          <w:tcPr>
            <w:tcW w:w="885" w:type="pct"/>
            <w:vAlign w:val="center"/>
          </w:tcPr>
          <w:p w14:paraId="4F395977">
            <w:pPr>
              <w:pStyle w:val="32"/>
              <w:ind w:right="44"/>
              <w:jc w:val="center"/>
              <w:rPr>
                <w:rFonts w:hint="eastAsia"/>
                <w:sz w:val="21"/>
                <w:szCs w:val="21"/>
                <w:lang w:eastAsia="zh-CN"/>
              </w:rPr>
            </w:pPr>
            <w:r>
              <w:rPr>
                <w:rFonts w:hint="eastAsia"/>
                <w:spacing w:val="-1"/>
                <w:sz w:val="21"/>
                <w:szCs w:val="21"/>
                <w:lang w:eastAsia="zh-CN"/>
              </w:rPr>
              <w:t>社有企业及其出资企业和托管企业资本金变动、企业托</w:t>
            </w:r>
            <w:r>
              <w:rPr>
                <w:rFonts w:hint="eastAsia"/>
                <w:sz w:val="21"/>
                <w:szCs w:val="21"/>
                <w:lang w:eastAsia="zh-CN"/>
              </w:rPr>
              <w:t>管相关事项确定及调整</w:t>
            </w:r>
          </w:p>
        </w:tc>
        <w:tc>
          <w:tcPr>
            <w:tcW w:w="2066" w:type="pct"/>
            <w:vAlign w:val="center"/>
          </w:tcPr>
          <w:p w14:paraId="6AF1FE43">
            <w:pPr>
              <w:pStyle w:val="32"/>
              <w:jc w:val="center"/>
              <w:rPr>
                <w:rFonts w:hint="eastAsia"/>
                <w:sz w:val="21"/>
                <w:szCs w:val="21"/>
                <w:lang w:eastAsia="zh-CN"/>
              </w:rPr>
            </w:pPr>
            <w:r>
              <w:rPr>
                <w:rFonts w:hint="eastAsia"/>
                <w:sz w:val="21"/>
                <w:szCs w:val="21"/>
                <w:lang w:eastAsia="zh-CN"/>
              </w:rPr>
              <w:t>批准社有企业及其出资企业和托管企业资本金变动，企业托管</w:t>
            </w:r>
            <w:r>
              <w:rPr>
                <w:rFonts w:hint="eastAsia"/>
                <w:spacing w:val="-1"/>
                <w:sz w:val="21"/>
                <w:szCs w:val="21"/>
                <w:lang w:eastAsia="zh-CN"/>
              </w:rPr>
              <w:t>等相关事项。</w:t>
            </w:r>
          </w:p>
        </w:tc>
        <w:tc>
          <w:tcPr>
            <w:tcW w:w="457" w:type="pct"/>
            <w:vAlign w:val="center"/>
          </w:tcPr>
          <w:p w14:paraId="6480B8DD">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3CD95E42">
            <w:pPr>
              <w:pStyle w:val="32"/>
              <w:jc w:val="center"/>
              <w:rPr>
                <w:rFonts w:hint="default"/>
                <w:sz w:val="21"/>
                <w:szCs w:val="21"/>
                <w:lang w:val="en-US" w:eastAsia="zh-CN"/>
              </w:rPr>
            </w:pPr>
            <w:r>
              <w:rPr>
                <w:rFonts w:hint="eastAsia"/>
                <w:sz w:val="21"/>
                <w:szCs w:val="21"/>
                <w:lang w:val="en-US" w:eastAsia="zh-CN"/>
              </w:rPr>
              <w:t>--</w:t>
            </w:r>
          </w:p>
        </w:tc>
      </w:tr>
      <w:tr w14:paraId="3BF0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382" w:type="pct"/>
            <w:vMerge w:val="continue"/>
            <w:vAlign w:val="center"/>
          </w:tcPr>
          <w:p w14:paraId="40419914">
            <w:pPr>
              <w:jc w:val="center"/>
              <w:rPr>
                <w:rFonts w:hint="eastAsia" w:ascii="宋体" w:hAnsi="宋体" w:eastAsia="宋体" w:cs="宋体"/>
                <w:b/>
                <w:bCs/>
              </w:rPr>
            </w:pPr>
          </w:p>
        </w:tc>
        <w:tc>
          <w:tcPr>
            <w:tcW w:w="187" w:type="pct"/>
            <w:vAlign w:val="center"/>
          </w:tcPr>
          <w:p w14:paraId="23CA8461">
            <w:pPr>
              <w:pStyle w:val="32"/>
              <w:jc w:val="center"/>
              <w:rPr>
                <w:rFonts w:hint="eastAsia"/>
                <w:sz w:val="21"/>
                <w:szCs w:val="21"/>
              </w:rPr>
            </w:pPr>
            <w:r>
              <w:rPr>
                <w:rFonts w:hint="eastAsia"/>
                <w:sz w:val="21"/>
                <w:szCs w:val="21"/>
              </w:rPr>
              <w:t>5</w:t>
            </w:r>
          </w:p>
        </w:tc>
        <w:tc>
          <w:tcPr>
            <w:tcW w:w="885" w:type="pct"/>
            <w:vAlign w:val="center"/>
          </w:tcPr>
          <w:p w14:paraId="2B5AD63E">
            <w:pPr>
              <w:pStyle w:val="32"/>
              <w:jc w:val="center"/>
              <w:rPr>
                <w:rFonts w:hint="eastAsia"/>
                <w:sz w:val="21"/>
                <w:szCs w:val="21"/>
                <w:lang w:eastAsia="zh-CN"/>
              </w:rPr>
            </w:pPr>
            <w:r>
              <w:rPr>
                <w:rFonts w:hint="eastAsia"/>
                <w:spacing w:val="-1"/>
                <w:sz w:val="21"/>
                <w:szCs w:val="21"/>
                <w:lang w:eastAsia="zh-CN"/>
              </w:rPr>
              <w:t>社有企业全面预算、决算编制及调整</w:t>
            </w:r>
          </w:p>
        </w:tc>
        <w:tc>
          <w:tcPr>
            <w:tcW w:w="2066" w:type="pct"/>
            <w:vAlign w:val="center"/>
          </w:tcPr>
          <w:p w14:paraId="5E7BBD44">
            <w:pPr>
              <w:pStyle w:val="32"/>
              <w:jc w:val="center"/>
              <w:rPr>
                <w:rFonts w:hint="eastAsia"/>
                <w:sz w:val="21"/>
                <w:szCs w:val="21"/>
                <w:lang w:eastAsia="zh-CN"/>
              </w:rPr>
            </w:pPr>
            <w:r>
              <w:rPr>
                <w:rFonts w:hint="eastAsia"/>
                <w:sz w:val="21"/>
                <w:szCs w:val="21"/>
                <w:lang w:eastAsia="zh-CN"/>
              </w:rPr>
              <w:t>组织社有企业开展年度全面预算编制工作，批准社有企业全面预算、决算、工资总额管理、经营计划、投融资计划和调整方案，监督全面预算执行单</w:t>
            </w:r>
            <w:r>
              <w:rPr>
                <w:rFonts w:hint="eastAsia"/>
                <w:spacing w:val="-1"/>
                <w:sz w:val="21"/>
                <w:szCs w:val="21"/>
                <w:lang w:eastAsia="zh-CN"/>
              </w:rPr>
              <w:t>位履行职责。</w:t>
            </w:r>
          </w:p>
        </w:tc>
        <w:tc>
          <w:tcPr>
            <w:tcW w:w="457" w:type="pct"/>
            <w:vAlign w:val="center"/>
          </w:tcPr>
          <w:p w14:paraId="3FF7AD48">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7B528419">
            <w:pPr>
              <w:pStyle w:val="32"/>
              <w:jc w:val="center"/>
              <w:rPr>
                <w:rFonts w:hint="eastAsia"/>
                <w:sz w:val="21"/>
                <w:szCs w:val="21"/>
                <w:lang w:eastAsia="zh-CN"/>
              </w:rPr>
            </w:pPr>
            <w:r>
              <w:rPr>
                <w:rFonts w:hint="eastAsia"/>
                <w:sz w:val="21"/>
                <w:szCs w:val="21"/>
                <w:lang w:eastAsia="zh-CN"/>
              </w:rPr>
              <w:t>人事科</w:t>
            </w:r>
            <w:r>
              <w:rPr>
                <w:rFonts w:hint="eastAsia"/>
                <w:sz w:val="21"/>
                <w:szCs w:val="21"/>
                <w:lang w:eastAsia="zh-CN"/>
              </w:rPr>
              <w:br w:type="textWrapping"/>
            </w:r>
            <w:r>
              <w:rPr>
                <w:rFonts w:hint="eastAsia"/>
                <w:sz w:val="21"/>
                <w:szCs w:val="21"/>
                <w:lang w:eastAsia="zh-CN"/>
              </w:rPr>
              <w:t>监事会办公室</w:t>
            </w:r>
          </w:p>
        </w:tc>
      </w:tr>
      <w:tr w14:paraId="0E53E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jc w:val="center"/>
        </w:trPr>
        <w:tc>
          <w:tcPr>
            <w:tcW w:w="382" w:type="pct"/>
            <w:vMerge w:val="continue"/>
            <w:vAlign w:val="center"/>
          </w:tcPr>
          <w:p w14:paraId="4D1592B9">
            <w:pPr>
              <w:pStyle w:val="32"/>
              <w:jc w:val="center"/>
              <w:rPr>
                <w:rFonts w:hint="eastAsia"/>
                <w:b/>
                <w:bCs/>
                <w:sz w:val="21"/>
                <w:szCs w:val="21"/>
                <w:lang w:eastAsia="zh-CN"/>
              </w:rPr>
            </w:pPr>
          </w:p>
        </w:tc>
        <w:tc>
          <w:tcPr>
            <w:tcW w:w="187" w:type="pct"/>
            <w:vAlign w:val="center"/>
          </w:tcPr>
          <w:p w14:paraId="099F603E">
            <w:pPr>
              <w:pStyle w:val="32"/>
              <w:jc w:val="center"/>
              <w:rPr>
                <w:rFonts w:hint="eastAsia"/>
                <w:sz w:val="21"/>
                <w:szCs w:val="21"/>
              </w:rPr>
            </w:pPr>
            <w:r>
              <w:rPr>
                <w:rFonts w:hint="eastAsia"/>
                <w:sz w:val="21"/>
                <w:szCs w:val="21"/>
              </w:rPr>
              <w:t>6</w:t>
            </w:r>
          </w:p>
        </w:tc>
        <w:tc>
          <w:tcPr>
            <w:tcW w:w="885" w:type="pct"/>
            <w:vAlign w:val="center"/>
          </w:tcPr>
          <w:p w14:paraId="18508D3D">
            <w:pPr>
              <w:pStyle w:val="32"/>
              <w:jc w:val="center"/>
              <w:rPr>
                <w:rFonts w:hint="eastAsia"/>
                <w:spacing w:val="-1"/>
                <w:sz w:val="21"/>
                <w:szCs w:val="21"/>
                <w:lang w:eastAsia="zh-CN"/>
              </w:rPr>
            </w:pPr>
            <w:r>
              <w:rPr>
                <w:rFonts w:hint="eastAsia"/>
                <w:spacing w:val="-1"/>
                <w:sz w:val="21"/>
                <w:szCs w:val="21"/>
                <w:lang w:eastAsia="zh-CN"/>
              </w:rPr>
              <w:t>社有企业投资设立合资公司及投资方或股权变更</w:t>
            </w:r>
          </w:p>
        </w:tc>
        <w:tc>
          <w:tcPr>
            <w:tcW w:w="2066" w:type="pct"/>
            <w:vAlign w:val="center"/>
          </w:tcPr>
          <w:p w14:paraId="5977C65B">
            <w:pPr>
              <w:pStyle w:val="32"/>
              <w:jc w:val="center"/>
              <w:rPr>
                <w:rFonts w:hint="eastAsia"/>
                <w:sz w:val="21"/>
                <w:szCs w:val="21"/>
                <w:lang w:eastAsia="zh-CN"/>
              </w:rPr>
            </w:pPr>
            <w:r>
              <w:rPr>
                <w:rFonts w:hint="eastAsia"/>
                <w:sz w:val="21"/>
                <w:szCs w:val="21"/>
                <w:lang w:eastAsia="zh-CN"/>
              </w:rPr>
              <w:t>社有企业投资应符合供销社主责主业要求，批准合资企业的投资</w:t>
            </w:r>
            <w:r>
              <w:rPr>
                <w:rFonts w:hint="eastAsia"/>
                <w:spacing w:val="-1"/>
                <w:sz w:val="21"/>
                <w:szCs w:val="21"/>
                <w:lang w:eastAsia="zh-CN"/>
              </w:rPr>
              <w:t>方或股权变更及投资额</w:t>
            </w:r>
            <w:r>
              <w:rPr>
                <w:rFonts w:hint="eastAsia"/>
                <w:sz w:val="21"/>
                <w:szCs w:val="21"/>
                <w:lang w:eastAsia="zh-CN"/>
              </w:rPr>
              <w:t>度达到</w:t>
            </w:r>
            <w:r>
              <w:rPr>
                <w:rFonts w:hint="eastAsia"/>
                <w:sz w:val="21"/>
                <w:szCs w:val="21"/>
                <w:lang w:val="en-US" w:eastAsia="zh-CN"/>
              </w:rPr>
              <w:t>10</w:t>
            </w:r>
            <w:r>
              <w:rPr>
                <w:rFonts w:hint="eastAsia"/>
                <w:sz w:val="21"/>
                <w:szCs w:val="21"/>
                <w:lang w:eastAsia="zh-CN"/>
              </w:rPr>
              <w:t>万元以上的投资事项。</w:t>
            </w:r>
          </w:p>
        </w:tc>
        <w:tc>
          <w:tcPr>
            <w:tcW w:w="457" w:type="pct"/>
            <w:vAlign w:val="center"/>
          </w:tcPr>
          <w:p w14:paraId="70673274">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7E2C27B4">
            <w:pPr>
              <w:pStyle w:val="32"/>
              <w:jc w:val="center"/>
              <w:rPr>
                <w:rFonts w:hint="eastAsia"/>
                <w:sz w:val="21"/>
                <w:szCs w:val="21"/>
                <w:lang w:eastAsia="zh-CN"/>
              </w:rPr>
            </w:pPr>
            <w:r>
              <w:rPr>
                <w:rFonts w:hint="eastAsia"/>
                <w:sz w:val="21"/>
                <w:szCs w:val="21"/>
                <w:lang w:eastAsia="zh-CN"/>
              </w:rPr>
              <w:t>相关业务科室</w:t>
            </w:r>
          </w:p>
        </w:tc>
      </w:tr>
      <w:tr w14:paraId="7FEF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382" w:type="pct"/>
            <w:vMerge w:val="continue"/>
            <w:vAlign w:val="center"/>
          </w:tcPr>
          <w:p w14:paraId="6EC49A2A">
            <w:pPr>
              <w:jc w:val="center"/>
              <w:rPr>
                <w:rFonts w:hint="eastAsia" w:ascii="宋体" w:hAnsi="宋体" w:eastAsia="宋体" w:cs="宋体"/>
                <w:b/>
                <w:bCs/>
              </w:rPr>
            </w:pPr>
          </w:p>
        </w:tc>
        <w:tc>
          <w:tcPr>
            <w:tcW w:w="187" w:type="pct"/>
            <w:vAlign w:val="center"/>
          </w:tcPr>
          <w:p w14:paraId="0EC62ABF">
            <w:pPr>
              <w:pStyle w:val="32"/>
              <w:jc w:val="center"/>
              <w:rPr>
                <w:rFonts w:hint="eastAsia"/>
                <w:sz w:val="21"/>
                <w:szCs w:val="21"/>
              </w:rPr>
            </w:pPr>
            <w:r>
              <w:rPr>
                <w:rFonts w:hint="eastAsia"/>
                <w:sz w:val="21"/>
                <w:szCs w:val="21"/>
              </w:rPr>
              <w:t>7</w:t>
            </w:r>
          </w:p>
        </w:tc>
        <w:tc>
          <w:tcPr>
            <w:tcW w:w="885" w:type="pct"/>
            <w:vAlign w:val="center"/>
          </w:tcPr>
          <w:p w14:paraId="0A4FFA61">
            <w:pPr>
              <w:pStyle w:val="32"/>
              <w:jc w:val="center"/>
              <w:rPr>
                <w:rFonts w:hint="eastAsia"/>
                <w:spacing w:val="-1"/>
                <w:sz w:val="21"/>
                <w:szCs w:val="21"/>
                <w:lang w:eastAsia="zh-CN"/>
              </w:rPr>
            </w:pPr>
            <w:r>
              <w:rPr>
                <w:rFonts w:hint="eastAsia"/>
                <w:sz w:val="21"/>
                <w:szCs w:val="21"/>
                <w:lang w:eastAsia="zh-CN"/>
              </w:rPr>
              <w:t>社有企业融资、对外担保、抵押等事项</w:t>
            </w:r>
          </w:p>
        </w:tc>
        <w:tc>
          <w:tcPr>
            <w:tcW w:w="2066" w:type="pct"/>
            <w:vAlign w:val="center"/>
          </w:tcPr>
          <w:p w14:paraId="60477EBD">
            <w:pPr>
              <w:pStyle w:val="32"/>
              <w:ind w:right="5"/>
              <w:jc w:val="center"/>
              <w:rPr>
                <w:rFonts w:hint="eastAsia"/>
                <w:sz w:val="21"/>
                <w:szCs w:val="21"/>
                <w:lang w:eastAsia="zh-CN"/>
              </w:rPr>
            </w:pPr>
            <w:r>
              <w:rPr>
                <w:rFonts w:hint="eastAsia"/>
                <w:sz w:val="21"/>
                <w:szCs w:val="21"/>
                <w:lang w:eastAsia="zh-CN"/>
              </w:rPr>
              <w:t>批准社有企业融资、对外担保、抵押等事项，指导企业做好风险评估和防控机制，确保社有资产安全；社有企业内部担保、借款</w:t>
            </w:r>
            <w:r>
              <w:rPr>
                <w:rFonts w:hint="eastAsia"/>
                <w:sz w:val="21"/>
                <w:szCs w:val="21"/>
                <w:lang w:val="en-US" w:eastAsia="zh-CN"/>
              </w:rPr>
              <w:t>需</w:t>
            </w:r>
            <w:r>
              <w:rPr>
                <w:rFonts w:hint="eastAsia"/>
                <w:sz w:val="21"/>
                <w:szCs w:val="21"/>
                <w:lang w:eastAsia="zh-CN"/>
              </w:rPr>
              <w:t>履行备案程序。</w:t>
            </w:r>
          </w:p>
        </w:tc>
        <w:tc>
          <w:tcPr>
            <w:tcW w:w="457" w:type="pct"/>
            <w:vAlign w:val="center"/>
          </w:tcPr>
          <w:p w14:paraId="74DD50F7">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3AD46A7B">
            <w:pPr>
              <w:pStyle w:val="32"/>
              <w:jc w:val="center"/>
              <w:rPr>
                <w:rFonts w:hint="eastAsia"/>
                <w:sz w:val="21"/>
                <w:szCs w:val="21"/>
                <w:lang w:eastAsia="zh-CN"/>
              </w:rPr>
            </w:pPr>
            <w:r>
              <w:rPr>
                <w:rFonts w:hint="eastAsia"/>
                <w:sz w:val="21"/>
                <w:szCs w:val="21"/>
                <w:lang w:eastAsia="zh-CN"/>
              </w:rPr>
              <w:t>相关业务科室</w:t>
            </w:r>
          </w:p>
        </w:tc>
      </w:tr>
      <w:tr w14:paraId="1D014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jc w:val="center"/>
        </w:trPr>
        <w:tc>
          <w:tcPr>
            <w:tcW w:w="382" w:type="pct"/>
            <w:vMerge w:val="continue"/>
            <w:vAlign w:val="center"/>
          </w:tcPr>
          <w:p w14:paraId="139FE194">
            <w:pPr>
              <w:jc w:val="center"/>
              <w:rPr>
                <w:rFonts w:hint="eastAsia" w:ascii="宋体" w:hAnsi="宋体" w:eastAsia="宋体" w:cs="宋体"/>
                <w:b/>
                <w:bCs/>
              </w:rPr>
            </w:pPr>
          </w:p>
        </w:tc>
        <w:tc>
          <w:tcPr>
            <w:tcW w:w="187" w:type="pct"/>
            <w:vAlign w:val="center"/>
          </w:tcPr>
          <w:p w14:paraId="1238EEB3">
            <w:pPr>
              <w:pStyle w:val="32"/>
              <w:jc w:val="center"/>
              <w:rPr>
                <w:rFonts w:hint="eastAsia"/>
                <w:sz w:val="21"/>
                <w:szCs w:val="21"/>
              </w:rPr>
            </w:pPr>
            <w:r>
              <w:rPr>
                <w:rFonts w:hint="eastAsia"/>
                <w:sz w:val="21"/>
                <w:szCs w:val="21"/>
              </w:rPr>
              <w:t>8</w:t>
            </w:r>
          </w:p>
        </w:tc>
        <w:tc>
          <w:tcPr>
            <w:tcW w:w="885" w:type="pct"/>
            <w:vAlign w:val="center"/>
          </w:tcPr>
          <w:p w14:paraId="6FB1F840">
            <w:pPr>
              <w:pStyle w:val="32"/>
              <w:ind w:right="16"/>
              <w:jc w:val="center"/>
              <w:rPr>
                <w:rFonts w:hint="eastAsia"/>
                <w:spacing w:val="-1"/>
                <w:sz w:val="21"/>
                <w:szCs w:val="21"/>
                <w:lang w:eastAsia="zh-CN"/>
              </w:rPr>
            </w:pPr>
            <w:r>
              <w:rPr>
                <w:rFonts w:hint="eastAsia"/>
                <w:spacing w:val="-1"/>
                <w:sz w:val="21"/>
                <w:szCs w:val="21"/>
                <w:lang w:eastAsia="zh-CN"/>
              </w:rPr>
              <w:t>社有企业及其出资企业、托管企业资产出售、产权转让</w:t>
            </w:r>
            <w:r>
              <w:rPr>
                <w:rFonts w:hint="eastAsia"/>
                <w:spacing w:val="1"/>
                <w:sz w:val="21"/>
                <w:szCs w:val="21"/>
                <w:lang w:eastAsia="zh-CN"/>
              </w:rPr>
              <w:t>、无偿划拨等资产处置方案制定，开展</w:t>
            </w:r>
            <w:r>
              <w:rPr>
                <w:rFonts w:hint="eastAsia"/>
                <w:spacing w:val="1"/>
                <w:sz w:val="21"/>
                <w:szCs w:val="21"/>
                <w:lang w:val="en-US" w:eastAsia="zh-CN"/>
              </w:rPr>
              <w:t>10</w:t>
            </w:r>
            <w:r>
              <w:rPr>
                <w:rFonts w:hint="eastAsia"/>
                <w:sz w:val="21"/>
                <w:szCs w:val="21"/>
                <w:lang w:eastAsia="zh-CN"/>
              </w:rPr>
              <w:t>万元及以上捐</w:t>
            </w:r>
            <w:r>
              <w:rPr>
                <w:rFonts w:hint="eastAsia"/>
                <w:spacing w:val="-2"/>
                <w:sz w:val="21"/>
                <w:szCs w:val="21"/>
                <w:lang w:eastAsia="zh-CN"/>
              </w:rPr>
              <w:t>赠等非商业行为</w:t>
            </w:r>
          </w:p>
        </w:tc>
        <w:tc>
          <w:tcPr>
            <w:tcW w:w="2066" w:type="pct"/>
            <w:vAlign w:val="center"/>
          </w:tcPr>
          <w:p w14:paraId="734F43C2">
            <w:pPr>
              <w:pStyle w:val="32"/>
              <w:jc w:val="center"/>
              <w:rPr>
                <w:rFonts w:hint="eastAsia"/>
                <w:sz w:val="21"/>
                <w:szCs w:val="21"/>
                <w:lang w:eastAsia="zh-CN"/>
              </w:rPr>
            </w:pPr>
            <w:r>
              <w:rPr>
                <w:rFonts w:hint="eastAsia"/>
                <w:sz w:val="21"/>
                <w:szCs w:val="21"/>
                <w:lang w:eastAsia="zh-CN"/>
              </w:rPr>
              <w:t>批准社有企业及其出资企业资产出售、产权转让、无偿划拨等资产处置方案，批准</w:t>
            </w:r>
            <w:r>
              <w:rPr>
                <w:rFonts w:hint="eastAsia"/>
                <w:sz w:val="21"/>
                <w:szCs w:val="21"/>
                <w:lang w:val="en-US" w:eastAsia="zh-CN"/>
              </w:rPr>
              <w:t>10</w:t>
            </w:r>
            <w:r>
              <w:rPr>
                <w:rFonts w:hint="eastAsia"/>
                <w:sz w:val="21"/>
                <w:szCs w:val="21"/>
                <w:lang w:eastAsia="zh-CN"/>
              </w:rPr>
              <w:t>万</w:t>
            </w:r>
            <w:r>
              <w:rPr>
                <w:rFonts w:hint="eastAsia"/>
                <w:spacing w:val="-1"/>
                <w:sz w:val="21"/>
                <w:szCs w:val="21"/>
                <w:lang w:eastAsia="zh-CN"/>
              </w:rPr>
              <w:t>元及以上捐赠等其他非商业行为。</w:t>
            </w:r>
          </w:p>
        </w:tc>
        <w:tc>
          <w:tcPr>
            <w:tcW w:w="457" w:type="pct"/>
            <w:vAlign w:val="center"/>
          </w:tcPr>
          <w:p w14:paraId="722D647A">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2FA2158A">
            <w:pPr>
              <w:pStyle w:val="32"/>
              <w:jc w:val="center"/>
              <w:rPr>
                <w:rFonts w:hint="eastAsia"/>
                <w:sz w:val="21"/>
                <w:szCs w:val="21"/>
                <w:lang w:eastAsia="zh-CN"/>
              </w:rPr>
            </w:pPr>
            <w:r>
              <w:rPr>
                <w:rFonts w:hint="eastAsia"/>
                <w:sz w:val="21"/>
                <w:szCs w:val="21"/>
                <w:lang w:eastAsia="zh-CN"/>
              </w:rPr>
              <w:t>监事会办公室</w:t>
            </w:r>
          </w:p>
        </w:tc>
      </w:tr>
      <w:tr w14:paraId="12C7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jc w:val="center"/>
        </w:trPr>
        <w:tc>
          <w:tcPr>
            <w:tcW w:w="382" w:type="pct"/>
            <w:vMerge w:val="continue"/>
            <w:vAlign w:val="center"/>
          </w:tcPr>
          <w:p w14:paraId="238367D9">
            <w:pPr>
              <w:jc w:val="center"/>
              <w:rPr>
                <w:rFonts w:hint="eastAsia" w:ascii="宋体" w:hAnsi="宋体" w:eastAsia="宋体" w:cs="宋体"/>
                <w:b/>
                <w:bCs/>
              </w:rPr>
            </w:pPr>
          </w:p>
        </w:tc>
        <w:tc>
          <w:tcPr>
            <w:tcW w:w="187" w:type="pct"/>
            <w:vAlign w:val="center"/>
          </w:tcPr>
          <w:p w14:paraId="0BC0A600">
            <w:pPr>
              <w:pStyle w:val="32"/>
              <w:jc w:val="center"/>
              <w:rPr>
                <w:rFonts w:hint="eastAsia"/>
                <w:sz w:val="21"/>
                <w:szCs w:val="21"/>
              </w:rPr>
            </w:pPr>
            <w:r>
              <w:rPr>
                <w:rFonts w:hint="eastAsia"/>
                <w:sz w:val="21"/>
                <w:szCs w:val="21"/>
              </w:rPr>
              <w:t>9</w:t>
            </w:r>
          </w:p>
        </w:tc>
        <w:tc>
          <w:tcPr>
            <w:tcW w:w="885" w:type="pct"/>
            <w:vAlign w:val="center"/>
          </w:tcPr>
          <w:p w14:paraId="3EA68A17">
            <w:pPr>
              <w:pStyle w:val="32"/>
              <w:ind w:right="41"/>
              <w:jc w:val="center"/>
              <w:rPr>
                <w:rFonts w:hint="eastAsia"/>
                <w:spacing w:val="-1"/>
                <w:sz w:val="21"/>
                <w:szCs w:val="21"/>
                <w:lang w:eastAsia="zh-CN"/>
              </w:rPr>
            </w:pPr>
            <w:r>
              <w:rPr>
                <w:rFonts w:hint="eastAsia"/>
                <w:spacing w:val="3"/>
                <w:sz w:val="21"/>
                <w:szCs w:val="21"/>
                <w:lang w:eastAsia="zh-CN"/>
              </w:rPr>
              <w:t>社有企业出租出借账面原值在</w:t>
            </w:r>
            <w:r>
              <w:rPr>
                <w:rFonts w:hint="eastAsia"/>
                <w:spacing w:val="3"/>
                <w:sz w:val="21"/>
                <w:szCs w:val="21"/>
                <w:lang w:val="en-US" w:eastAsia="zh-CN"/>
              </w:rPr>
              <w:t>10</w:t>
            </w:r>
            <w:r>
              <w:rPr>
                <w:rFonts w:hint="eastAsia"/>
                <w:spacing w:val="3"/>
                <w:sz w:val="21"/>
                <w:szCs w:val="21"/>
                <w:lang w:eastAsia="zh-CN"/>
              </w:rPr>
              <w:t>万元及以上的资产；</w:t>
            </w:r>
            <w:r>
              <w:rPr>
                <w:rFonts w:hint="eastAsia"/>
                <w:spacing w:val="-1"/>
                <w:sz w:val="21"/>
                <w:szCs w:val="21"/>
                <w:lang w:eastAsia="zh-CN"/>
              </w:rPr>
              <w:t>对外投资</w:t>
            </w:r>
            <w:r>
              <w:rPr>
                <w:rFonts w:hint="eastAsia"/>
                <w:spacing w:val="-1"/>
                <w:sz w:val="21"/>
                <w:szCs w:val="21"/>
                <w:lang w:val="en-US" w:eastAsia="zh-CN"/>
              </w:rPr>
              <w:t>10</w:t>
            </w:r>
            <w:r>
              <w:rPr>
                <w:rFonts w:hint="eastAsia"/>
                <w:spacing w:val="-1"/>
                <w:sz w:val="21"/>
                <w:szCs w:val="21"/>
                <w:lang w:eastAsia="zh-CN"/>
              </w:rPr>
              <w:t>万元及以上的资金使用；单体的房屋出租</w:t>
            </w:r>
            <w:r>
              <w:rPr>
                <w:rFonts w:hint="eastAsia"/>
                <w:sz w:val="21"/>
                <w:szCs w:val="21"/>
                <w:lang w:eastAsia="zh-CN"/>
              </w:rPr>
              <w:t>面积超过</w:t>
            </w:r>
            <w:r>
              <w:rPr>
                <w:rFonts w:hint="eastAsia"/>
                <w:sz w:val="21"/>
                <w:szCs w:val="21"/>
                <w:lang w:val="en-US" w:eastAsia="zh-CN"/>
              </w:rPr>
              <w:t>100</w:t>
            </w:r>
            <w:r>
              <w:rPr>
                <w:rFonts w:hint="eastAsia"/>
                <w:sz w:val="21"/>
                <w:szCs w:val="21"/>
                <w:lang w:eastAsia="zh-CN"/>
              </w:rPr>
              <w:t>平方米或单体的土地出租</w:t>
            </w:r>
            <w:r>
              <w:rPr>
                <w:rFonts w:hint="eastAsia"/>
                <w:spacing w:val="-1"/>
                <w:sz w:val="21"/>
                <w:szCs w:val="21"/>
                <w:lang w:eastAsia="zh-CN"/>
              </w:rPr>
              <w:t>超过</w:t>
            </w:r>
            <w:r>
              <w:rPr>
                <w:rFonts w:hint="eastAsia"/>
                <w:spacing w:val="-1"/>
                <w:sz w:val="21"/>
                <w:szCs w:val="21"/>
                <w:lang w:val="en-US" w:eastAsia="zh-CN"/>
              </w:rPr>
              <w:t>200</w:t>
            </w:r>
            <w:r>
              <w:rPr>
                <w:rFonts w:hint="eastAsia"/>
                <w:spacing w:val="-1"/>
                <w:sz w:val="21"/>
                <w:szCs w:val="21"/>
                <w:lang w:eastAsia="zh-CN"/>
              </w:rPr>
              <w:t>平方米</w:t>
            </w:r>
          </w:p>
        </w:tc>
        <w:tc>
          <w:tcPr>
            <w:tcW w:w="2066" w:type="pct"/>
            <w:vAlign w:val="center"/>
          </w:tcPr>
          <w:p w14:paraId="06DBCFD0">
            <w:pPr>
              <w:pStyle w:val="32"/>
              <w:jc w:val="center"/>
              <w:rPr>
                <w:rFonts w:hint="eastAsia"/>
                <w:sz w:val="21"/>
                <w:szCs w:val="21"/>
                <w:lang w:eastAsia="zh-CN"/>
              </w:rPr>
            </w:pPr>
            <w:r>
              <w:rPr>
                <w:rFonts w:hint="eastAsia"/>
                <w:sz w:val="21"/>
                <w:szCs w:val="21"/>
                <w:lang w:eastAsia="zh-CN"/>
              </w:rPr>
              <w:t>批准社有企业出租出借账面原值在</w:t>
            </w:r>
            <w:r>
              <w:rPr>
                <w:rFonts w:hint="eastAsia"/>
                <w:sz w:val="21"/>
                <w:szCs w:val="21"/>
                <w:lang w:val="en-US" w:eastAsia="zh-CN"/>
              </w:rPr>
              <w:t>10</w:t>
            </w:r>
            <w:r>
              <w:rPr>
                <w:rFonts w:hint="eastAsia"/>
                <w:sz w:val="21"/>
                <w:szCs w:val="21"/>
                <w:lang w:eastAsia="zh-CN"/>
              </w:rPr>
              <w:t>万元及以上的资产，对外投资</w:t>
            </w:r>
            <w:r>
              <w:rPr>
                <w:rFonts w:hint="eastAsia"/>
                <w:sz w:val="21"/>
                <w:szCs w:val="21"/>
                <w:lang w:val="en-US" w:eastAsia="zh-CN"/>
              </w:rPr>
              <w:t>10</w:t>
            </w:r>
            <w:r>
              <w:rPr>
                <w:rFonts w:hint="eastAsia"/>
                <w:sz w:val="21"/>
                <w:szCs w:val="21"/>
                <w:lang w:eastAsia="zh-CN"/>
              </w:rPr>
              <w:t>万元及以上事项，从严监督社有企业大额资金使用相关事项。批准社有企</w:t>
            </w:r>
            <w:r>
              <w:rPr>
                <w:rFonts w:hint="eastAsia"/>
                <w:spacing w:val="-1"/>
                <w:sz w:val="21"/>
                <w:szCs w:val="21"/>
                <w:lang w:eastAsia="zh-CN"/>
              </w:rPr>
              <w:t>业提交的单体的房屋出租面</w:t>
            </w:r>
            <w:r>
              <w:rPr>
                <w:rFonts w:hint="eastAsia"/>
                <w:sz w:val="21"/>
                <w:szCs w:val="21"/>
                <w:lang w:eastAsia="zh-CN"/>
              </w:rPr>
              <w:t>积超过</w:t>
            </w:r>
            <w:r>
              <w:rPr>
                <w:rFonts w:hint="eastAsia"/>
                <w:sz w:val="21"/>
                <w:szCs w:val="21"/>
                <w:lang w:val="en-US" w:eastAsia="zh-CN"/>
              </w:rPr>
              <w:t>100</w:t>
            </w:r>
            <w:r>
              <w:rPr>
                <w:rFonts w:hint="eastAsia"/>
                <w:sz w:val="21"/>
                <w:szCs w:val="21"/>
                <w:lang w:eastAsia="zh-CN"/>
              </w:rPr>
              <w:t>平方米或单体的土地出租超过</w:t>
            </w:r>
            <w:r>
              <w:rPr>
                <w:rFonts w:hint="eastAsia"/>
                <w:sz w:val="21"/>
                <w:szCs w:val="21"/>
                <w:lang w:val="en-US" w:eastAsia="zh-CN"/>
              </w:rPr>
              <w:t>200</w:t>
            </w:r>
            <w:r>
              <w:rPr>
                <w:rFonts w:hint="eastAsia"/>
                <w:sz w:val="21"/>
                <w:szCs w:val="21"/>
                <w:lang w:eastAsia="zh-CN"/>
              </w:rPr>
              <w:t>平方米的重大资产租</w:t>
            </w:r>
            <w:r>
              <w:rPr>
                <w:rFonts w:hint="eastAsia"/>
                <w:spacing w:val="-1"/>
                <w:sz w:val="21"/>
                <w:szCs w:val="21"/>
                <w:lang w:eastAsia="zh-CN"/>
              </w:rPr>
              <w:t>赁方案，重点监督社</w:t>
            </w:r>
            <w:r>
              <w:rPr>
                <w:rFonts w:hint="eastAsia"/>
                <w:sz w:val="21"/>
                <w:szCs w:val="21"/>
                <w:lang w:eastAsia="zh-CN"/>
              </w:rPr>
              <w:t>有企业重大资产租赁过程中的合规性与承租人选择的合理性。</w:t>
            </w:r>
          </w:p>
        </w:tc>
        <w:tc>
          <w:tcPr>
            <w:tcW w:w="457" w:type="pct"/>
            <w:vAlign w:val="center"/>
          </w:tcPr>
          <w:p w14:paraId="47D722E2">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21E0E29B">
            <w:pPr>
              <w:pStyle w:val="32"/>
              <w:jc w:val="center"/>
              <w:rPr>
                <w:rFonts w:hint="default"/>
                <w:sz w:val="21"/>
                <w:szCs w:val="21"/>
                <w:lang w:val="en-US" w:eastAsia="zh-CN"/>
              </w:rPr>
            </w:pPr>
            <w:r>
              <w:rPr>
                <w:rFonts w:hint="eastAsia"/>
                <w:sz w:val="21"/>
                <w:szCs w:val="21"/>
                <w:lang w:val="en-US" w:eastAsia="zh-CN"/>
              </w:rPr>
              <w:t>--</w:t>
            </w:r>
          </w:p>
        </w:tc>
      </w:tr>
      <w:tr w14:paraId="69AE4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vAlign w:val="center"/>
          </w:tcPr>
          <w:p w14:paraId="2FF16600">
            <w:pPr>
              <w:jc w:val="center"/>
              <w:rPr>
                <w:rFonts w:hint="eastAsia" w:ascii="宋体" w:hAnsi="宋体" w:eastAsia="宋体" w:cs="宋体"/>
                <w:b/>
                <w:bCs/>
              </w:rPr>
            </w:pPr>
          </w:p>
        </w:tc>
        <w:tc>
          <w:tcPr>
            <w:tcW w:w="187" w:type="pct"/>
            <w:vAlign w:val="center"/>
          </w:tcPr>
          <w:p w14:paraId="13A16061">
            <w:pPr>
              <w:pStyle w:val="32"/>
              <w:jc w:val="center"/>
              <w:rPr>
                <w:rFonts w:hint="eastAsia"/>
                <w:sz w:val="21"/>
                <w:szCs w:val="21"/>
              </w:rPr>
            </w:pPr>
            <w:r>
              <w:rPr>
                <w:rFonts w:hint="eastAsia"/>
                <w:spacing w:val="-6"/>
                <w:sz w:val="21"/>
                <w:szCs w:val="21"/>
              </w:rPr>
              <w:t>10</w:t>
            </w:r>
          </w:p>
        </w:tc>
        <w:tc>
          <w:tcPr>
            <w:tcW w:w="885" w:type="pct"/>
            <w:vAlign w:val="center"/>
          </w:tcPr>
          <w:p w14:paraId="392911E0">
            <w:pPr>
              <w:pStyle w:val="32"/>
              <w:jc w:val="center"/>
              <w:rPr>
                <w:rFonts w:hint="eastAsia"/>
                <w:spacing w:val="-1"/>
                <w:sz w:val="21"/>
                <w:szCs w:val="21"/>
                <w:lang w:eastAsia="zh-CN"/>
              </w:rPr>
            </w:pPr>
            <w:r>
              <w:rPr>
                <w:rFonts w:hint="eastAsia"/>
                <w:spacing w:val="-1"/>
                <w:sz w:val="21"/>
                <w:szCs w:val="21"/>
                <w:lang w:eastAsia="zh-CN"/>
              </w:rPr>
              <w:t>社有企业重大会计政策和会计估计方案制定及变更</w:t>
            </w:r>
          </w:p>
        </w:tc>
        <w:tc>
          <w:tcPr>
            <w:tcW w:w="2066" w:type="pct"/>
            <w:vAlign w:val="center"/>
          </w:tcPr>
          <w:p w14:paraId="4AA94C85">
            <w:pPr>
              <w:pStyle w:val="32"/>
              <w:jc w:val="center"/>
              <w:rPr>
                <w:rFonts w:hint="eastAsia"/>
                <w:sz w:val="21"/>
                <w:szCs w:val="21"/>
                <w:lang w:eastAsia="zh-CN"/>
              </w:rPr>
            </w:pPr>
            <w:r>
              <w:rPr>
                <w:rFonts w:hint="eastAsia"/>
                <w:sz w:val="21"/>
                <w:szCs w:val="21"/>
                <w:lang w:eastAsia="zh-CN"/>
              </w:rPr>
              <w:t>批准社有企业重大会计政策和会计估计变更方案。</w:t>
            </w:r>
          </w:p>
        </w:tc>
        <w:tc>
          <w:tcPr>
            <w:tcW w:w="457" w:type="pct"/>
            <w:vAlign w:val="center"/>
          </w:tcPr>
          <w:p w14:paraId="7276B263">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6BC99458">
            <w:pPr>
              <w:pStyle w:val="32"/>
              <w:jc w:val="center"/>
              <w:rPr>
                <w:rFonts w:hint="eastAsia"/>
                <w:sz w:val="21"/>
                <w:szCs w:val="21"/>
                <w:lang w:eastAsia="zh-CN"/>
              </w:rPr>
            </w:pPr>
            <w:r>
              <w:rPr>
                <w:rFonts w:hint="eastAsia"/>
                <w:sz w:val="21"/>
                <w:szCs w:val="21"/>
                <w:lang w:eastAsia="zh-CN"/>
              </w:rPr>
              <w:t>人事科</w:t>
            </w:r>
          </w:p>
        </w:tc>
      </w:tr>
      <w:tr w14:paraId="4ED66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bottom w:val="single" w:color="auto" w:sz="4" w:space="0"/>
            </w:tcBorders>
            <w:vAlign w:val="center"/>
          </w:tcPr>
          <w:p w14:paraId="5D7DFC03">
            <w:pPr>
              <w:jc w:val="center"/>
              <w:rPr>
                <w:rFonts w:hint="eastAsia" w:ascii="宋体" w:hAnsi="宋体" w:eastAsia="宋体" w:cs="宋体"/>
                <w:b/>
                <w:bCs/>
                <w:lang w:eastAsia="zh-CN"/>
              </w:rPr>
            </w:pPr>
          </w:p>
        </w:tc>
        <w:tc>
          <w:tcPr>
            <w:tcW w:w="187" w:type="pct"/>
            <w:tcBorders>
              <w:bottom w:val="single" w:color="auto" w:sz="4" w:space="0"/>
            </w:tcBorders>
            <w:vAlign w:val="center"/>
          </w:tcPr>
          <w:p w14:paraId="6E9623D9">
            <w:pPr>
              <w:pStyle w:val="32"/>
              <w:jc w:val="center"/>
              <w:rPr>
                <w:rFonts w:hint="eastAsia"/>
                <w:sz w:val="21"/>
                <w:szCs w:val="21"/>
              </w:rPr>
            </w:pPr>
            <w:r>
              <w:rPr>
                <w:rFonts w:hint="eastAsia"/>
                <w:spacing w:val="-6"/>
                <w:sz w:val="21"/>
                <w:szCs w:val="21"/>
              </w:rPr>
              <w:t>11</w:t>
            </w:r>
          </w:p>
        </w:tc>
        <w:tc>
          <w:tcPr>
            <w:tcW w:w="885" w:type="pct"/>
            <w:vAlign w:val="center"/>
          </w:tcPr>
          <w:p w14:paraId="46F9F3D5">
            <w:pPr>
              <w:pStyle w:val="32"/>
              <w:jc w:val="center"/>
              <w:rPr>
                <w:rFonts w:hint="eastAsia"/>
                <w:spacing w:val="-1"/>
                <w:sz w:val="21"/>
                <w:szCs w:val="21"/>
                <w:lang w:eastAsia="zh-CN"/>
              </w:rPr>
            </w:pPr>
            <w:r>
              <w:rPr>
                <w:rFonts w:hint="eastAsia"/>
                <w:sz w:val="21"/>
                <w:szCs w:val="21"/>
                <w:lang w:eastAsia="zh-CN"/>
              </w:rPr>
              <w:t>社有企业利润分配和弥补亏损方案制定</w:t>
            </w:r>
          </w:p>
        </w:tc>
        <w:tc>
          <w:tcPr>
            <w:tcW w:w="2066" w:type="pct"/>
            <w:vAlign w:val="center"/>
          </w:tcPr>
          <w:p w14:paraId="2E5154B5">
            <w:pPr>
              <w:pStyle w:val="32"/>
              <w:jc w:val="center"/>
              <w:rPr>
                <w:rFonts w:hint="eastAsia"/>
                <w:sz w:val="21"/>
                <w:szCs w:val="21"/>
                <w:lang w:eastAsia="zh-CN"/>
              </w:rPr>
            </w:pPr>
            <w:r>
              <w:rPr>
                <w:rFonts w:hint="eastAsia"/>
                <w:sz w:val="21"/>
                <w:szCs w:val="21"/>
                <w:lang w:eastAsia="zh-CN"/>
              </w:rPr>
              <w:t>批准社有企业上缴社有资产收益数额，批准弥补亏损方案。</w:t>
            </w:r>
          </w:p>
        </w:tc>
        <w:tc>
          <w:tcPr>
            <w:tcW w:w="457" w:type="pct"/>
            <w:vAlign w:val="center"/>
          </w:tcPr>
          <w:p w14:paraId="56B684C7">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22421684">
            <w:pPr>
              <w:pStyle w:val="32"/>
              <w:jc w:val="center"/>
              <w:rPr>
                <w:rFonts w:hint="default"/>
                <w:sz w:val="21"/>
                <w:szCs w:val="21"/>
                <w:lang w:val="en-US" w:eastAsia="zh-CN"/>
              </w:rPr>
            </w:pPr>
            <w:r>
              <w:rPr>
                <w:rFonts w:hint="eastAsia"/>
                <w:sz w:val="21"/>
                <w:szCs w:val="21"/>
                <w:lang w:val="en-US" w:eastAsia="zh-CN"/>
              </w:rPr>
              <w:t>--</w:t>
            </w:r>
          </w:p>
        </w:tc>
      </w:tr>
      <w:tr w14:paraId="0144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restart"/>
            <w:tcBorders>
              <w:top w:val="single" w:color="auto" w:sz="4" w:space="0"/>
              <w:left w:val="single" w:color="auto" w:sz="4" w:space="0"/>
              <w:bottom w:val="single" w:color="auto" w:sz="4" w:space="0"/>
              <w:right w:val="single" w:color="auto" w:sz="4" w:space="0"/>
            </w:tcBorders>
            <w:vAlign w:val="center"/>
          </w:tcPr>
          <w:p w14:paraId="674A7F0D">
            <w:pPr>
              <w:pStyle w:val="32"/>
              <w:ind w:left="184"/>
              <w:jc w:val="center"/>
              <w:rPr>
                <w:rFonts w:hint="eastAsia"/>
                <w:b/>
                <w:bCs/>
                <w:sz w:val="21"/>
                <w:szCs w:val="21"/>
              </w:rPr>
            </w:pPr>
            <w:r>
              <w:rPr>
                <w:rFonts w:hint="eastAsia"/>
                <w:b/>
                <w:bCs/>
                <w:spacing w:val="-2"/>
                <w:sz w:val="21"/>
                <w:szCs w:val="21"/>
              </w:rPr>
              <w:t>报告类</w:t>
            </w:r>
            <w:r>
              <w:rPr>
                <w:rFonts w:hint="eastAsia"/>
                <w:b/>
                <w:bCs/>
                <w:spacing w:val="-2"/>
                <w:sz w:val="21"/>
                <w:szCs w:val="21"/>
              </w:rPr>
              <w:br w:type="textWrapping"/>
            </w:r>
            <w:r>
              <w:rPr>
                <w:rFonts w:hint="eastAsia"/>
                <w:b/>
                <w:bCs/>
                <w:spacing w:val="9"/>
                <w:sz w:val="21"/>
                <w:szCs w:val="21"/>
              </w:rPr>
              <w:t>（3项）</w:t>
            </w:r>
          </w:p>
        </w:tc>
        <w:tc>
          <w:tcPr>
            <w:tcW w:w="187" w:type="pct"/>
            <w:tcBorders>
              <w:top w:val="single" w:color="auto" w:sz="4" w:space="0"/>
              <w:left w:val="single" w:color="auto" w:sz="4" w:space="0"/>
              <w:bottom w:val="single" w:color="auto" w:sz="4" w:space="0"/>
              <w:right w:val="single" w:color="auto" w:sz="4" w:space="0"/>
            </w:tcBorders>
            <w:vAlign w:val="center"/>
          </w:tcPr>
          <w:p w14:paraId="73DF6106">
            <w:pPr>
              <w:pStyle w:val="32"/>
              <w:jc w:val="center"/>
              <w:rPr>
                <w:rFonts w:hint="eastAsia"/>
                <w:sz w:val="21"/>
                <w:szCs w:val="21"/>
              </w:rPr>
            </w:pPr>
            <w:r>
              <w:rPr>
                <w:rFonts w:hint="eastAsia"/>
                <w:sz w:val="21"/>
                <w:szCs w:val="21"/>
              </w:rPr>
              <w:t>1</w:t>
            </w:r>
          </w:p>
        </w:tc>
        <w:tc>
          <w:tcPr>
            <w:tcW w:w="885" w:type="pct"/>
            <w:tcBorders>
              <w:left w:val="single" w:color="auto" w:sz="4" w:space="0"/>
            </w:tcBorders>
            <w:vAlign w:val="center"/>
          </w:tcPr>
          <w:p w14:paraId="4AA4FFB9">
            <w:pPr>
              <w:pStyle w:val="32"/>
              <w:jc w:val="center"/>
              <w:rPr>
                <w:rFonts w:hint="eastAsia"/>
                <w:spacing w:val="-1"/>
                <w:sz w:val="21"/>
                <w:szCs w:val="21"/>
                <w:lang w:eastAsia="zh-CN"/>
              </w:rPr>
            </w:pPr>
            <w:r>
              <w:rPr>
                <w:rFonts w:hint="eastAsia"/>
                <w:spacing w:val="-1"/>
                <w:sz w:val="21"/>
                <w:szCs w:val="21"/>
                <w:lang w:eastAsia="zh-CN"/>
              </w:rPr>
              <w:t>社有企业重点工作和重要事项总结材料</w:t>
            </w:r>
          </w:p>
        </w:tc>
        <w:tc>
          <w:tcPr>
            <w:tcW w:w="2066" w:type="pct"/>
            <w:vAlign w:val="center"/>
          </w:tcPr>
          <w:p w14:paraId="7BABE836">
            <w:pPr>
              <w:pStyle w:val="32"/>
              <w:ind w:right="17"/>
              <w:jc w:val="center"/>
              <w:rPr>
                <w:rFonts w:hint="eastAsia"/>
                <w:sz w:val="21"/>
                <w:szCs w:val="21"/>
                <w:lang w:eastAsia="zh-CN"/>
              </w:rPr>
            </w:pPr>
            <w:r>
              <w:rPr>
                <w:rFonts w:hint="eastAsia"/>
                <w:sz w:val="21"/>
                <w:szCs w:val="21"/>
                <w:lang w:eastAsia="zh-CN"/>
              </w:rPr>
              <w:t>报告重点工作和市</w:t>
            </w:r>
            <w:bookmarkStart w:id="0" w:name="_GoBack"/>
            <w:bookmarkEnd w:id="0"/>
            <w:r>
              <w:rPr>
                <w:rFonts w:hint="eastAsia"/>
                <w:sz w:val="21"/>
                <w:szCs w:val="21"/>
                <w:lang w:eastAsia="zh-CN"/>
              </w:rPr>
              <w:t>社交办的经营管理、安全生产、服务“三农”等重要事项</w:t>
            </w:r>
            <w:r>
              <w:rPr>
                <w:rFonts w:hint="eastAsia"/>
                <w:spacing w:val="-1"/>
                <w:sz w:val="21"/>
                <w:szCs w:val="21"/>
                <w:lang w:eastAsia="zh-CN"/>
              </w:rPr>
              <w:t>的进展和完成情</w:t>
            </w:r>
            <w:r>
              <w:rPr>
                <w:rFonts w:hint="eastAsia"/>
                <w:spacing w:val="2"/>
                <w:sz w:val="21"/>
                <w:szCs w:val="21"/>
                <w:lang w:eastAsia="zh-CN"/>
              </w:rPr>
              <w:t>况。</w:t>
            </w:r>
          </w:p>
        </w:tc>
        <w:tc>
          <w:tcPr>
            <w:tcW w:w="457" w:type="pct"/>
            <w:vAlign w:val="center"/>
          </w:tcPr>
          <w:p w14:paraId="2C95632E">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721E9CA4">
            <w:pPr>
              <w:pStyle w:val="32"/>
              <w:jc w:val="center"/>
              <w:rPr>
                <w:rFonts w:hint="eastAsia"/>
                <w:sz w:val="21"/>
                <w:szCs w:val="21"/>
                <w:lang w:eastAsia="zh-CN"/>
              </w:rPr>
            </w:pPr>
            <w:r>
              <w:rPr>
                <w:rFonts w:hint="eastAsia"/>
                <w:sz w:val="21"/>
                <w:szCs w:val="21"/>
              </w:rPr>
              <w:t>相关业务科室</w:t>
            </w:r>
          </w:p>
        </w:tc>
      </w:tr>
      <w:tr w14:paraId="5EDB9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23DF76EB">
            <w:pPr>
              <w:jc w:val="center"/>
              <w:rPr>
                <w:rFonts w:hint="eastAsia" w:ascii="宋体" w:hAnsi="宋体" w:eastAsia="宋体" w:cs="宋体"/>
                <w:b/>
                <w:bCs/>
              </w:rPr>
            </w:pPr>
          </w:p>
        </w:tc>
        <w:tc>
          <w:tcPr>
            <w:tcW w:w="187" w:type="pct"/>
            <w:tcBorders>
              <w:top w:val="single" w:color="auto" w:sz="4" w:space="0"/>
              <w:left w:val="single" w:color="auto" w:sz="4" w:space="0"/>
              <w:bottom w:val="single" w:color="auto" w:sz="4" w:space="0"/>
              <w:right w:val="single" w:color="auto" w:sz="4" w:space="0"/>
            </w:tcBorders>
            <w:vAlign w:val="center"/>
          </w:tcPr>
          <w:p w14:paraId="1C3E51C3">
            <w:pPr>
              <w:pStyle w:val="32"/>
              <w:jc w:val="center"/>
              <w:rPr>
                <w:rFonts w:hint="eastAsia"/>
                <w:sz w:val="21"/>
                <w:szCs w:val="21"/>
              </w:rPr>
            </w:pPr>
            <w:r>
              <w:rPr>
                <w:rFonts w:hint="eastAsia"/>
                <w:sz w:val="21"/>
                <w:szCs w:val="21"/>
              </w:rPr>
              <w:t>2</w:t>
            </w:r>
          </w:p>
        </w:tc>
        <w:tc>
          <w:tcPr>
            <w:tcW w:w="885" w:type="pct"/>
            <w:tcBorders>
              <w:left w:val="single" w:color="auto" w:sz="4" w:space="0"/>
            </w:tcBorders>
            <w:vAlign w:val="center"/>
          </w:tcPr>
          <w:p w14:paraId="253006C0">
            <w:pPr>
              <w:pStyle w:val="32"/>
              <w:jc w:val="center"/>
              <w:rPr>
                <w:rFonts w:hint="eastAsia"/>
                <w:spacing w:val="-1"/>
                <w:sz w:val="21"/>
                <w:szCs w:val="21"/>
                <w:lang w:eastAsia="zh-CN"/>
              </w:rPr>
            </w:pPr>
            <w:r>
              <w:rPr>
                <w:rFonts w:hint="eastAsia"/>
                <w:spacing w:val="-1"/>
                <w:sz w:val="21"/>
                <w:szCs w:val="21"/>
                <w:lang w:eastAsia="zh-CN"/>
              </w:rPr>
              <w:t>重大诉讼和仲裁等法律纠纷处置</w:t>
            </w:r>
          </w:p>
        </w:tc>
        <w:tc>
          <w:tcPr>
            <w:tcW w:w="2066" w:type="pct"/>
            <w:vAlign w:val="center"/>
          </w:tcPr>
          <w:p w14:paraId="30F58644">
            <w:pPr>
              <w:pStyle w:val="32"/>
              <w:jc w:val="center"/>
              <w:rPr>
                <w:rFonts w:hint="eastAsia"/>
                <w:sz w:val="21"/>
                <w:szCs w:val="21"/>
                <w:lang w:eastAsia="zh-CN"/>
              </w:rPr>
            </w:pPr>
            <w:r>
              <w:rPr>
                <w:rFonts w:hint="eastAsia"/>
                <w:sz w:val="21"/>
                <w:szCs w:val="21"/>
                <w:lang w:eastAsia="zh-CN"/>
              </w:rPr>
              <w:t>报告社有企业及其出资企业的重大诉讼和仲裁等纠纷判决或进展情况。</w:t>
            </w:r>
          </w:p>
        </w:tc>
        <w:tc>
          <w:tcPr>
            <w:tcW w:w="457" w:type="pct"/>
            <w:vAlign w:val="center"/>
          </w:tcPr>
          <w:p w14:paraId="033C134C">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5E2C4213">
            <w:pPr>
              <w:pStyle w:val="32"/>
              <w:jc w:val="center"/>
              <w:rPr>
                <w:rFonts w:hint="eastAsia"/>
                <w:sz w:val="21"/>
                <w:szCs w:val="21"/>
                <w:lang w:eastAsia="zh-CN"/>
              </w:rPr>
            </w:pPr>
            <w:r>
              <w:rPr>
                <w:rFonts w:hint="eastAsia"/>
                <w:sz w:val="21"/>
                <w:szCs w:val="21"/>
                <w:lang w:eastAsia="zh-CN"/>
              </w:rPr>
              <w:t>监事会办公室</w:t>
            </w:r>
          </w:p>
        </w:tc>
      </w:tr>
      <w:tr w14:paraId="229AB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0456396A">
            <w:pPr>
              <w:jc w:val="center"/>
              <w:rPr>
                <w:rFonts w:hint="eastAsia" w:ascii="宋体" w:hAnsi="宋体" w:eastAsia="宋体" w:cs="宋体"/>
                <w:b/>
                <w:bCs/>
                <w:lang w:eastAsia="zh-CN"/>
              </w:rPr>
            </w:pPr>
          </w:p>
        </w:tc>
        <w:tc>
          <w:tcPr>
            <w:tcW w:w="187" w:type="pct"/>
            <w:tcBorders>
              <w:top w:val="single" w:color="auto" w:sz="4" w:space="0"/>
              <w:left w:val="single" w:color="auto" w:sz="4" w:space="0"/>
              <w:bottom w:val="single" w:color="auto" w:sz="4" w:space="0"/>
              <w:right w:val="single" w:color="auto" w:sz="4" w:space="0"/>
            </w:tcBorders>
            <w:vAlign w:val="center"/>
          </w:tcPr>
          <w:p w14:paraId="35EEC57D">
            <w:pPr>
              <w:pStyle w:val="32"/>
              <w:jc w:val="center"/>
              <w:rPr>
                <w:rFonts w:hint="eastAsia"/>
                <w:sz w:val="21"/>
                <w:szCs w:val="21"/>
              </w:rPr>
            </w:pPr>
            <w:r>
              <w:rPr>
                <w:rFonts w:hint="eastAsia"/>
                <w:sz w:val="21"/>
                <w:szCs w:val="21"/>
              </w:rPr>
              <w:t>3</w:t>
            </w:r>
          </w:p>
        </w:tc>
        <w:tc>
          <w:tcPr>
            <w:tcW w:w="885" w:type="pct"/>
            <w:tcBorders>
              <w:left w:val="single" w:color="auto" w:sz="4" w:space="0"/>
            </w:tcBorders>
            <w:vAlign w:val="center"/>
          </w:tcPr>
          <w:p w14:paraId="321598DD">
            <w:pPr>
              <w:pStyle w:val="32"/>
              <w:jc w:val="center"/>
              <w:rPr>
                <w:rFonts w:hint="eastAsia"/>
                <w:spacing w:val="-1"/>
                <w:sz w:val="21"/>
                <w:szCs w:val="21"/>
                <w:lang w:eastAsia="zh-CN"/>
              </w:rPr>
            </w:pPr>
            <w:r>
              <w:rPr>
                <w:rFonts w:hint="eastAsia"/>
                <w:sz w:val="21"/>
                <w:szCs w:val="21"/>
                <w:lang w:eastAsia="zh-CN"/>
              </w:rPr>
              <w:t>社有企业党风建设情况总结</w:t>
            </w:r>
          </w:p>
        </w:tc>
        <w:tc>
          <w:tcPr>
            <w:tcW w:w="2066" w:type="pct"/>
            <w:vAlign w:val="center"/>
          </w:tcPr>
          <w:p w14:paraId="2FB5E24B">
            <w:pPr>
              <w:pStyle w:val="32"/>
              <w:jc w:val="center"/>
              <w:rPr>
                <w:rFonts w:hint="eastAsia"/>
                <w:sz w:val="21"/>
                <w:szCs w:val="21"/>
                <w:lang w:eastAsia="zh-CN"/>
              </w:rPr>
            </w:pPr>
            <w:r>
              <w:rPr>
                <w:rFonts w:hint="eastAsia"/>
                <w:sz w:val="21"/>
                <w:szCs w:val="21"/>
                <w:lang w:eastAsia="zh-CN"/>
              </w:rPr>
              <w:t>报告年度党风廉政建设、思想政治工作及意识形态工作情况总结。</w:t>
            </w:r>
          </w:p>
        </w:tc>
        <w:tc>
          <w:tcPr>
            <w:tcW w:w="457" w:type="pct"/>
            <w:vAlign w:val="center"/>
          </w:tcPr>
          <w:p w14:paraId="16D51375">
            <w:pPr>
              <w:pStyle w:val="32"/>
              <w:jc w:val="center"/>
              <w:rPr>
                <w:rFonts w:hint="eastAsia"/>
                <w:sz w:val="21"/>
                <w:szCs w:val="21"/>
                <w:lang w:eastAsia="zh-CN"/>
              </w:rPr>
            </w:pPr>
            <w:r>
              <w:rPr>
                <w:rFonts w:hint="eastAsia"/>
                <w:sz w:val="21"/>
                <w:szCs w:val="21"/>
                <w:lang w:eastAsia="zh-CN"/>
              </w:rPr>
              <w:t>机关党支部</w:t>
            </w:r>
          </w:p>
        </w:tc>
        <w:tc>
          <w:tcPr>
            <w:tcW w:w="1020" w:type="pct"/>
            <w:vAlign w:val="center"/>
          </w:tcPr>
          <w:p w14:paraId="64949E4A">
            <w:pPr>
              <w:pStyle w:val="32"/>
              <w:jc w:val="center"/>
              <w:rPr>
                <w:rFonts w:hint="eastAsia"/>
                <w:sz w:val="21"/>
                <w:szCs w:val="21"/>
                <w:lang w:eastAsia="zh-CN"/>
              </w:rPr>
            </w:pPr>
            <w:r>
              <w:rPr>
                <w:rFonts w:hint="eastAsia"/>
                <w:sz w:val="21"/>
                <w:szCs w:val="21"/>
              </w:rPr>
              <w:t>—</w:t>
            </w:r>
          </w:p>
        </w:tc>
      </w:tr>
      <w:tr w14:paraId="0288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382" w:type="pct"/>
            <w:vMerge w:val="restart"/>
            <w:tcBorders>
              <w:top w:val="single" w:color="auto" w:sz="4" w:space="0"/>
              <w:left w:val="single" w:color="auto" w:sz="4" w:space="0"/>
              <w:bottom w:val="single" w:color="auto" w:sz="4" w:space="0"/>
              <w:right w:val="single" w:color="auto" w:sz="4" w:space="0"/>
            </w:tcBorders>
            <w:vAlign w:val="center"/>
          </w:tcPr>
          <w:p w14:paraId="50608453">
            <w:pPr>
              <w:pStyle w:val="32"/>
              <w:jc w:val="center"/>
              <w:rPr>
                <w:rFonts w:hint="eastAsia"/>
                <w:b/>
                <w:bCs/>
                <w:spacing w:val="9"/>
                <w:sz w:val="21"/>
                <w:szCs w:val="21"/>
              </w:rPr>
            </w:pPr>
            <w:r>
              <w:rPr>
                <w:rFonts w:hint="eastAsia"/>
                <w:b/>
                <w:bCs/>
                <w:spacing w:val="-3"/>
                <w:sz w:val="21"/>
                <w:szCs w:val="21"/>
              </w:rPr>
              <w:t>备案类</w:t>
            </w:r>
            <w:r>
              <w:rPr>
                <w:rFonts w:hint="eastAsia"/>
                <w:b/>
                <w:bCs/>
                <w:spacing w:val="-3"/>
                <w:sz w:val="21"/>
                <w:szCs w:val="21"/>
              </w:rPr>
              <w:br w:type="textWrapping"/>
            </w:r>
            <w:r>
              <w:rPr>
                <w:rFonts w:hint="eastAsia"/>
                <w:b/>
                <w:bCs/>
                <w:spacing w:val="9"/>
                <w:sz w:val="21"/>
                <w:szCs w:val="21"/>
              </w:rPr>
              <w:t>（7项）</w:t>
            </w:r>
          </w:p>
          <w:p w14:paraId="3A2625D2">
            <w:pPr>
              <w:jc w:val="center"/>
              <w:rPr>
                <w:rFonts w:hint="eastAsia" w:ascii="宋体" w:hAnsi="宋体" w:eastAsia="宋体" w:cs="宋体"/>
                <w:b/>
                <w:bCs/>
              </w:rPr>
            </w:pPr>
          </w:p>
          <w:p w14:paraId="1E36AA92">
            <w:pPr>
              <w:jc w:val="center"/>
              <w:rPr>
                <w:rFonts w:hint="eastAsia" w:ascii="宋体" w:hAnsi="宋体" w:eastAsia="宋体" w:cs="宋体"/>
                <w:b/>
                <w:bCs/>
              </w:rPr>
            </w:pPr>
          </w:p>
          <w:p w14:paraId="10527C69">
            <w:pPr>
              <w:jc w:val="center"/>
              <w:rPr>
                <w:rFonts w:hint="eastAsia" w:ascii="宋体" w:hAnsi="宋体" w:eastAsia="宋体" w:cs="宋体"/>
                <w:b/>
                <w:bCs/>
              </w:rPr>
            </w:pPr>
          </w:p>
          <w:p w14:paraId="01DF78F5">
            <w:pPr>
              <w:pStyle w:val="32"/>
              <w:ind w:left="195"/>
              <w:jc w:val="center"/>
              <w:rPr>
                <w:rFonts w:hint="eastAsia"/>
                <w:b/>
                <w:bCs/>
                <w:sz w:val="21"/>
                <w:szCs w:val="21"/>
              </w:rPr>
            </w:pPr>
          </w:p>
        </w:tc>
        <w:tc>
          <w:tcPr>
            <w:tcW w:w="187" w:type="pct"/>
            <w:tcBorders>
              <w:top w:val="single" w:color="auto" w:sz="4" w:space="0"/>
              <w:left w:val="single" w:color="auto" w:sz="4" w:space="0"/>
              <w:bottom w:val="single" w:color="auto" w:sz="4" w:space="0"/>
              <w:right w:val="single" w:color="auto" w:sz="4" w:space="0"/>
            </w:tcBorders>
            <w:vAlign w:val="center"/>
          </w:tcPr>
          <w:p w14:paraId="27C470D2">
            <w:pPr>
              <w:pStyle w:val="32"/>
              <w:jc w:val="center"/>
              <w:rPr>
                <w:rFonts w:hint="eastAsia"/>
                <w:sz w:val="21"/>
                <w:szCs w:val="21"/>
              </w:rPr>
            </w:pPr>
            <w:r>
              <w:rPr>
                <w:rFonts w:hint="eastAsia"/>
                <w:sz w:val="21"/>
                <w:szCs w:val="21"/>
              </w:rPr>
              <w:t>1</w:t>
            </w:r>
          </w:p>
        </w:tc>
        <w:tc>
          <w:tcPr>
            <w:tcW w:w="885" w:type="pct"/>
            <w:tcBorders>
              <w:left w:val="single" w:color="auto" w:sz="4" w:space="0"/>
            </w:tcBorders>
            <w:vAlign w:val="center"/>
          </w:tcPr>
          <w:p w14:paraId="1580C01F">
            <w:pPr>
              <w:pStyle w:val="32"/>
              <w:jc w:val="center"/>
              <w:rPr>
                <w:rFonts w:hint="eastAsia"/>
                <w:spacing w:val="-1"/>
                <w:sz w:val="21"/>
                <w:szCs w:val="21"/>
                <w:lang w:eastAsia="zh-CN"/>
              </w:rPr>
            </w:pPr>
            <w:r>
              <w:rPr>
                <w:rFonts w:hint="eastAsia"/>
                <w:spacing w:val="-1"/>
                <w:sz w:val="21"/>
                <w:szCs w:val="21"/>
                <w:lang w:eastAsia="zh-CN"/>
              </w:rPr>
              <w:t>社有企业内部控制制度制定或修订</w:t>
            </w:r>
          </w:p>
        </w:tc>
        <w:tc>
          <w:tcPr>
            <w:tcW w:w="2066" w:type="pct"/>
            <w:vAlign w:val="center"/>
          </w:tcPr>
          <w:p w14:paraId="21B3B720">
            <w:pPr>
              <w:pStyle w:val="32"/>
              <w:jc w:val="center"/>
              <w:rPr>
                <w:rFonts w:hint="eastAsia"/>
                <w:sz w:val="21"/>
                <w:szCs w:val="21"/>
                <w:lang w:eastAsia="zh-CN"/>
              </w:rPr>
            </w:pPr>
            <w:r>
              <w:rPr>
                <w:rFonts w:hint="eastAsia"/>
                <w:sz w:val="21"/>
                <w:szCs w:val="21"/>
                <w:lang w:eastAsia="zh-CN"/>
              </w:rPr>
              <w:t>对社有企业人事、财务、资本、经营及日常监督管理机制等各方面规章制度进行备案。</w:t>
            </w:r>
          </w:p>
        </w:tc>
        <w:tc>
          <w:tcPr>
            <w:tcW w:w="457" w:type="pct"/>
            <w:vAlign w:val="center"/>
          </w:tcPr>
          <w:p w14:paraId="4F9A8767">
            <w:pPr>
              <w:pStyle w:val="32"/>
              <w:jc w:val="center"/>
              <w:rPr>
                <w:rFonts w:hint="eastAsia"/>
                <w:sz w:val="21"/>
                <w:szCs w:val="21"/>
                <w:lang w:eastAsia="zh-CN"/>
              </w:rPr>
            </w:pPr>
            <w:r>
              <w:rPr>
                <w:rFonts w:hint="eastAsia"/>
                <w:sz w:val="21"/>
                <w:szCs w:val="21"/>
                <w:lang w:eastAsia="zh-CN"/>
              </w:rPr>
              <w:t>理事会办公室</w:t>
            </w:r>
          </w:p>
        </w:tc>
        <w:tc>
          <w:tcPr>
            <w:tcW w:w="1020" w:type="pct"/>
            <w:vAlign w:val="center"/>
          </w:tcPr>
          <w:p w14:paraId="28AF75A1">
            <w:pPr>
              <w:pStyle w:val="32"/>
              <w:jc w:val="center"/>
              <w:rPr>
                <w:rFonts w:hint="eastAsia"/>
                <w:sz w:val="21"/>
                <w:szCs w:val="21"/>
                <w:lang w:eastAsia="zh-CN"/>
              </w:rPr>
            </w:pPr>
            <w:r>
              <w:rPr>
                <w:rFonts w:hint="eastAsia"/>
                <w:sz w:val="21"/>
                <w:szCs w:val="21"/>
                <w:lang w:eastAsia="zh-CN"/>
              </w:rPr>
              <w:t>人事科</w:t>
            </w:r>
            <w:r>
              <w:rPr>
                <w:rFonts w:hint="eastAsia"/>
                <w:sz w:val="21"/>
                <w:szCs w:val="21"/>
                <w:lang w:eastAsia="zh-CN"/>
              </w:rPr>
              <w:br w:type="textWrapping"/>
            </w:r>
            <w:r>
              <w:rPr>
                <w:rFonts w:hint="eastAsia"/>
                <w:sz w:val="21"/>
                <w:szCs w:val="21"/>
                <w:lang w:eastAsia="zh-CN"/>
              </w:rPr>
              <w:t>资产经营管理科</w:t>
            </w:r>
          </w:p>
        </w:tc>
      </w:tr>
      <w:tr w14:paraId="1D95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1C7B658E">
            <w:pPr>
              <w:jc w:val="center"/>
              <w:rPr>
                <w:rFonts w:hint="eastAsia" w:ascii="宋体" w:hAnsi="宋体" w:eastAsia="宋体" w:cs="宋体"/>
                <w:b/>
                <w:bCs/>
                <w:lang w:eastAsia="zh-CN"/>
              </w:rPr>
            </w:pPr>
          </w:p>
        </w:tc>
        <w:tc>
          <w:tcPr>
            <w:tcW w:w="187" w:type="pct"/>
            <w:tcBorders>
              <w:top w:val="single" w:color="auto" w:sz="4" w:space="0"/>
              <w:left w:val="single" w:color="auto" w:sz="4" w:space="0"/>
              <w:bottom w:val="single" w:color="auto" w:sz="4" w:space="0"/>
              <w:right w:val="single" w:color="auto" w:sz="4" w:space="0"/>
            </w:tcBorders>
            <w:vAlign w:val="center"/>
          </w:tcPr>
          <w:p w14:paraId="1B4B328B">
            <w:pPr>
              <w:pStyle w:val="32"/>
              <w:jc w:val="center"/>
              <w:rPr>
                <w:rFonts w:hint="eastAsia"/>
                <w:sz w:val="21"/>
                <w:szCs w:val="21"/>
              </w:rPr>
            </w:pPr>
            <w:r>
              <w:rPr>
                <w:rFonts w:hint="eastAsia"/>
                <w:sz w:val="21"/>
                <w:szCs w:val="21"/>
              </w:rPr>
              <w:t>2</w:t>
            </w:r>
          </w:p>
        </w:tc>
        <w:tc>
          <w:tcPr>
            <w:tcW w:w="885" w:type="pct"/>
            <w:tcBorders>
              <w:left w:val="single" w:color="auto" w:sz="4" w:space="0"/>
            </w:tcBorders>
            <w:vAlign w:val="center"/>
          </w:tcPr>
          <w:p w14:paraId="68647210">
            <w:pPr>
              <w:pStyle w:val="32"/>
              <w:jc w:val="center"/>
              <w:rPr>
                <w:rFonts w:hint="eastAsia"/>
                <w:spacing w:val="-1"/>
                <w:sz w:val="21"/>
                <w:szCs w:val="21"/>
              </w:rPr>
            </w:pPr>
            <w:r>
              <w:rPr>
                <w:rFonts w:hint="eastAsia"/>
                <w:spacing w:val="-1"/>
                <w:sz w:val="21"/>
                <w:szCs w:val="21"/>
              </w:rPr>
              <w:t>社有企业产权登记</w:t>
            </w:r>
          </w:p>
        </w:tc>
        <w:tc>
          <w:tcPr>
            <w:tcW w:w="2066" w:type="pct"/>
            <w:vAlign w:val="center"/>
          </w:tcPr>
          <w:p w14:paraId="6A14CB68">
            <w:pPr>
              <w:pStyle w:val="32"/>
              <w:jc w:val="center"/>
              <w:rPr>
                <w:rFonts w:hint="eastAsia"/>
                <w:sz w:val="21"/>
                <w:szCs w:val="21"/>
                <w:lang w:eastAsia="zh-CN"/>
              </w:rPr>
            </w:pPr>
            <w:r>
              <w:rPr>
                <w:rFonts w:hint="eastAsia"/>
                <w:sz w:val="21"/>
                <w:szCs w:val="21"/>
                <w:lang w:eastAsia="zh-CN"/>
              </w:rPr>
              <w:t>对社有企业办理产权登记情况进行备案，社有企业要形成台账，并进行动态管理。</w:t>
            </w:r>
          </w:p>
        </w:tc>
        <w:tc>
          <w:tcPr>
            <w:tcW w:w="457" w:type="pct"/>
            <w:vAlign w:val="center"/>
          </w:tcPr>
          <w:p w14:paraId="7FBAC53A">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3C5E0C23">
            <w:pPr>
              <w:pStyle w:val="32"/>
              <w:jc w:val="center"/>
              <w:rPr>
                <w:rFonts w:hint="eastAsia"/>
                <w:sz w:val="21"/>
                <w:szCs w:val="21"/>
                <w:lang w:eastAsia="zh-CN"/>
              </w:rPr>
            </w:pPr>
            <w:r>
              <w:rPr>
                <w:rFonts w:hint="eastAsia"/>
                <w:sz w:val="21"/>
                <w:szCs w:val="21"/>
                <w:lang w:eastAsia="zh-CN"/>
              </w:rPr>
              <w:t>---</w:t>
            </w:r>
          </w:p>
        </w:tc>
      </w:tr>
      <w:tr w14:paraId="181F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41C148EF">
            <w:pPr>
              <w:jc w:val="center"/>
              <w:rPr>
                <w:rFonts w:hint="eastAsia" w:ascii="宋体" w:hAnsi="宋体" w:eastAsia="宋体" w:cs="宋体"/>
                <w:b/>
                <w:bCs/>
              </w:rPr>
            </w:pPr>
          </w:p>
        </w:tc>
        <w:tc>
          <w:tcPr>
            <w:tcW w:w="187" w:type="pct"/>
            <w:tcBorders>
              <w:top w:val="single" w:color="auto" w:sz="4" w:space="0"/>
              <w:left w:val="single" w:color="auto" w:sz="4" w:space="0"/>
              <w:bottom w:val="single" w:color="auto" w:sz="4" w:space="0"/>
              <w:right w:val="single" w:color="auto" w:sz="4" w:space="0"/>
            </w:tcBorders>
            <w:vAlign w:val="center"/>
          </w:tcPr>
          <w:p w14:paraId="1AC344B7">
            <w:pPr>
              <w:pStyle w:val="32"/>
              <w:jc w:val="center"/>
              <w:rPr>
                <w:rFonts w:hint="eastAsia"/>
                <w:sz w:val="21"/>
                <w:szCs w:val="21"/>
              </w:rPr>
            </w:pPr>
            <w:r>
              <w:rPr>
                <w:rFonts w:hint="eastAsia"/>
                <w:sz w:val="21"/>
                <w:szCs w:val="21"/>
              </w:rPr>
              <w:t>3</w:t>
            </w:r>
          </w:p>
        </w:tc>
        <w:tc>
          <w:tcPr>
            <w:tcW w:w="885" w:type="pct"/>
            <w:tcBorders>
              <w:left w:val="single" w:color="auto" w:sz="4" w:space="0"/>
            </w:tcBorders>
            <w:vAlign w:val="center"/>
          </w:tcPr>
          <w:p w14:paraId="1BADDEA8">
            <w:pPr>
              <w:pStyle w:val="32"/>
              <w:jc w:val="center"/>
              <w:rPr>
                <w:rFonts w:hint="eastAsia"/>
                <w:spacing w:val="-1"/>
                <w:sz w:val="21"/>
                <w:szCs w:val="21"/>
                <w:lang w:eastAsia="zh-CN"/>
              </w:rPr>
            </w:pPr>
            <w:r>
              <w:rPr>
                <w:rFonts w:hint="eastAsia"/>
                <w:spacing w:val="1"/>
                <w:sz w:val="21"/>
                <w:szCs w:val="21"/>
                <w:lang w:eastAsia="zh-CN"/>
              </w:rPr>
              <w:t>预算内单笔超过</w:t>
            </w:r>
            <w:r>
              <w:rPr>
                <w:rFonts w:hint="eastAsia"/>
                <w:spacing w:val="1"/>
                <w:sz w:val="21"/>
                <w:szCs w:val="21"/>
                <w:lang w:val="en-US" w:eastAsia="zh-CN"/>
              </w:rPr>
              <w:t>5</w:t>
            </w:r>
            <w:r>
              <w:rPr>
                <w:rFonts w:hint="eastAsia"/>
                <w:spacing w:val="1"/>
                <w:sz w:val="21"/>
                <w:szCs w:val="21"/>
                <w:lang w:eastAsia="zh-CN"/>
              </w:rPr>
              <w:t>万元的资金使用</w:t>
            </w:r>
          </w:p>
        </w:tc>
        <w:tc>
          <w:tcPr>
            <w:tcW w:w="2066" w:type="pct"/>
            <w:vAlign w:val="center"/>
          </w:tcPr>
          <w:p w14:paraId="575C24B8">
            <w:pPr>
              <w:pStyle w:val="32"/>
              <w:jc w:val="center"/>
              <w:rPr>
                <w:rFonts w:hint="eastAsia"/>
                <w:sz w:val="21"/>
                <w:szCs w:val="21"/>
                <w:lang w:eastAsia="zh-CN"/>
              </w:rPr>
            </w:pPr>
            <w:r>
              <w:rPr>
                <w:rFonts w:hint="eastAsia"/>
                <w:spacing w:val="-2"/>
                <w:sz w:val="21"/>
                <w:szCs w:val="21"/>
                <w:lang w:eastAsia="zh-CN"/>
              </w:rPr>
              <w:t>对预算内单笔超过</w:t>
            </w:r>
            <w:r>
              <w:rPr>
                <w:rFonts w:hint="eastAsia"/>
                <w:spacing w:val="-2"/>
                <w:sz w:val="21"/>
                <w:szCs w:val="21"/>
                <w:lang w:val="en-US" w:eastAsia="zh-CN"/>
              </w:rPr>
              <w:t>5</w:t>
            </w:r>
            <w:r>
              <w:rPr>
                <w:rFonts w:hint="eastAsia"/>
                <w:spacing w:val="-2"/>
                <w:sz w:val="21"/>
                <w:szCs w:val="21"/>
                <w:lang w:eastAsia="zh-CN"/>
              </w:rPr>
              <w:t>万元的资金使用进行备案，不包含预算内农资采购等日常</w:t>
            </w:r>
            <w:r>
              <w:rPr>
                <w:rFonts w:hint="eastAsia"/>
                <w:spacing w:val="-3"/>
                <w:sz w:val="21"/>
                <w:szCs w:val="21"/>
                <w:lang w:eastAsia="zh-CN"/>
              </w:rPr>
              <w:t>经营业务的</w:t>
            </w:r>
            <w:r>
              <w:rPr>
                <w:rFonts w:hint="eastAsia"/>
                <w:sz w:val="21"/>
                <w:szCs w:val="21"/>
                <w:lang w:eastAsia="zh-CN"/>
              </w:rPr>
              <w:t>资金使用。社有企业应做好风险评估和防控机制，确保</w:t>
            </w:r>
            <w:r>
              <w:rPr>
                <w:rFonts w:hint="eastAsia"/>
                <w:spacing w:val="-1"/>
                <w:sz w:val="21"/>
                <w:szCs w:val="21"/>
                <w:lang w:eastAsia="zh-CN"/>
              </w:rPr>
              <w:t>社有资产安全。</w:t>
            </w:r>
          </w:p>
        </w:tc>
        <w:tc>
          <w:tcPr>
            <w:tcW w:w="457" w:type="pct"/>
            <w:vAlign w:val="center"/>
          </w:tcPr>
          <w:p w14:paraId="588554CA">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7F8BDF55">
            <w:pPr>
              <w:pStyle w:val="32"/>
              <w:jc w:val="center"/>
              <w:rPr>
                <w:rFonts w:hint="eastAsia"/>
                <w:sz w:val="21"/>
                <w:szCs w:val="21"/>
                <w:lang w:eastAsia="zh-CN"/>
              </w:rPr>
            </w:pPr>
            <w:r>
              <w:rPr>
                <w:rFonts w:hint="eastAsia"/>
                <w:sz w:val="21"/>
                <w:szCs w:val="21"/>
                <w:lang w:eastAsia="zh-CN"/>
              </w:rPr>
              <w:t>---</w:t>
            </w:r>
          </w:p>
        </w:tc>
      </w:tr>
      <w:tr w14:paraId="16851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2E635AC9">
            <w:pPr>
              <w:jc w:val="center"/>
              <w:rPr>
                <w:rFonts w:hint="eastAsia" w:ascii="宋体" w:hAnsi="宋体" w:eastAsia="宋体" w:cs="宋体"/>
                <w:b/>
                <w:bCs/>
              </w:rPr>
            </w:pPr>
          </w:p>
        </w:tc>
        <w:tc>
          <w:tcPr>
            <w:tcW w:w="187" w:type="pct"/>
            <w:tcBorders>
              <w:top w:val="single" w:color="auto" w:sz="4" w:space="0"/>
              <w:left w:val="single" w:color="auto" w:sz="4" w:space="0"/>
              <w:bottom w:val="single" w:color="auto" w:sz="4" w:space="0"/>
              <w:right w:val="single" w:color="auto" w:sz="4" w:space="0"/>
            </w:tcBorders>
            <w:vAlign w:val="center"/>
          </w:tcPr>
          <w:p w14:paraId="78188E8A">
            <w:pPr>
              <w:pStyle w:val="32"/>
              <w:jc w:val="center"/>
              <w:rPr>
                <w:rFonts w:hint="eastAsia"/>
                <w:sz w:val="21"/>
                <w:szCs w:val="21"/>
              </w:rPr>
            </w:pPr>
            <w:r>
              <w:rPr>
                <w:rFonts w:hint="eastAsia"/>
                <w:sz w:val="21"/>
                <w:szCs w:val="21"/>
              </w:rPr>
              <w:t>4</w:t>
            </w:r>
          </w:p>
        </w:tc>
        <w:tc>
          <w:tcPr>
            <w:tcW w:w="885" w:type="pct"/>
            <w:tcBorders>
              <w:left w:val="single" w:color="auto" w:sz="4" w:space="0"/>
            </w:tcBorders>
            <w:vAlign w:val="center"/>
          </w:tcPr>
          <w:p w14:paraId="1973D2B8">
            <w:pPr>
              <w:pStyle w:val="32"/>
              <w:jc w:val="center"/>
              <w:rPr>
                <w:rFonts w:hint="eastAsia"/>
                <w:spacing w:val="-1"/>
                <w:sz w:val="21"/>
                <w:szCs w:val="21"/>
                <w:lang w:eastAsia="zh-CN"/>
              </w:rPr>
            </w:pPr>
            <w:r>
              <w:rPr>
                <w:rFonts w:hint="eastAsia"/>
                <w:spacing w:val="-1"/>
                <w:sz w:val="21"/>
                <w:szCs w:val="21"/>
                <w:lang w:eastAsia="zh-CN"/>
              </w:rPr>
              <w:t>社有企业员工中长期激励方案</w:t>
            </w:r>
          </w:p>
        </w:tc>
        <w:tc>
          <w:tcPr>
            <w:tcW w:w="2066" w:type="pct"/>
            <w:vAlign w:val="center"/>
          </w:tcPr>
          <w:p w14:paraId="428E8352">
            <w:pPr>
              <w:pStyle w:val="32"/>
              <w:jc w:val="center"/>
              <w:rPr>
                <w:rFonts w:hint="eastAsia"/>
                <w:sz w:val="21"/>
                <w:szCs w:val="21"/>
                <w:lang w:eastAsia="zh-CN"/>
              </w:rPr>
            </w:pPr>
            <w:r>
              <w:rPr>
                <w:rFonts w:hint="eastAsia"/>
                <w:sz w:val="21"/>
                <w:szCs w:val="21"/>
                <w:lang w:eastAsia="zh-CN"/>
              </w:rPr>
              <w:t>对社有企业员工中长期激励方案进行备案，跟踪监督企业相关事项的实施情况。</w:t>
            </w:r>
          </w:p>
        </w:tc>
        <w:tc>
          <w:tcPr>
            <w:tcW w:w="457" w:type="pct"/>
            <w:vAlign w:val="center"/>
          </w:tcPr>
          <w:p w14:paraId="798BED47">
            <w:pPr>
              <w:pStyle w:val="32"/>
              <w:jc w:val="center"/>
              <w:rPr>
                <w:rFonts w:hint="eastAsia"/>
                <w:sz w:val="21"/>
                <w:szCs w:val="21"/>
                <w:lang w:eastAsia="zh-CN"/>
              </w:rPr>
            </w:pPr>
            <w:r>
              <w:rPr>
                <w:rFonts w:hint="eastAsia"/>
                <w:sz w:val="21"/>
                <w:szCs w:val="21"/>
              </w:rPr>
              <w:t>人事</w:t>
            </w:r>
            <w:r>
              <w:rPr>
                <w:rFonts w:hint="eastAsia"/>
                <w:sz w:val="21"/>
                <w:szCs w:val="21"/>
                <w:lang w:eastAsia="zh-CN"/>
              </w:rPr>
              <w:t>科</w:t>
            </w:r>
          </w:p>
        </w:tc>
        <w:tc>
          <w:tcPr>
            <w:tcW w:w="1020" w:type="pct"/>
            <w:vAlign w:val="center"/>
          </w:tcPr>
          <w:p w14:paraId="76C9325E">
            <w:pPr>
              <w:pStyle w:val="32"/>
              <w:jc w:val="center"/>
              <w:rPr>
                <w:rFonts w:hint="eastAsia"/>
                <w:sz w:val="21"/>
                <w:szCs w:val="21"/>
                <w:lang w:eastAsia="zh-CN"/>
              </w:rPr>
            </w:pPr>
            <w:r>
              <w:rPr>
                <w:rFonts w:hint="eastAsia"/>
                <w:sz w:val="21"/>
                <w:szCs w:val="21"/>
                <w:lang w:eastAsia="zh-CN"/>
              </w:rPr>
              <w:t>资产经营管理科</w:t>
            </w:r>
          </w:p>
        </w:tc>
      </w:tr>
      <w:tr w14:paraId="46DAF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141C0300">
            <w:pPr>
              <w:pStyle w:val="32"/>
              <w:ind w:left="195"/>
              <w:jc w:val="center"/>
              <w:rPr>
                <w:rFonts w:hint="eastAsia"/>
                <w:b/>
                <w:bCs/>
                <w:sz w:val="21"/>
                <w:szCs w:val="21"/>
              </w:rPr>
            </w:pPr>
          </w:p>
        </w:tc>
        <w:tc>
          <w:tcPr>
            <w:tcW w:w="187" w:type="pct"/>
            <w:tcBorders>
              <w:top w:val="single" w:color="auto" w:sz="4" w:space="0"/>
              <w:left w:val="single" w:color="auto" w:sz="4" w:space="0"/>
              <w:bottom w:val="single" w:color="auto" w:sz="4" w:space="0"/>
              <w:right w:val="single" w:color="auto" w:sz="4" w:space="0"/>
            </w:tcBorders>
            <w:vAlign w:val="center"/>
          </w:tcPr>
          <w:p w14:paraId="6B57BAAC">
            <w:pPr>
              <w:pStyle w:val="32"/>
              <w:jc w:val="center"/>
              <w:rPr>
                <w:rFonts w:hint="eastAsia"/>
                <w:sz w:val="21"/>
                <w:szCs w:val="21"/>
              </w:rPr>
            </w:pPr>
            <w:r>
              <w:rPr>
                <w:rFonts w:hint="eastAsia"/>
                <w:sz w:val="21"/>
                <w:szCs w:val="21"/>
              </w:rPr>
              <w:t>5</w:t>
            </w:r>
          </w:p>
        </w:tc>
        <w:tc>
          <w:tcPr>
            <w:tcW w:w="885" w:type="pct"/>
            <w:tcBorders>
              <w:left w:val="single" w:color="auto" w:sz="4" w:space="0"/>
            </w:tcBorders>
            <w:vAlign w:val="center"/>
          </w:tcPr>
          <w:p w14:paraId="58578F9B">
            <w:pPr>
              <w:pStyle w:val="32"/>
              <w:jc w:val="center"/>
              <w:rPr>
                <w:rFonts w:hint="eastAsia"/>
                <w:spacing w:val="-1"/>
                <w:sz w:val="21"/>
                <w:szCs w:val="21"/>
                <w:lang w:eastAsia="zh-CN"/>
              </w:rPr>
            </w:pPr>
            <w:r>
              <w:rPr>
                <w:rFonts w:hint="eastAsia"/>
                <w:spacing w:val="1"/>
                <w:sz w:val="21"/>
                <w:szCs w:val="21"/>
                <w:lang w:eastAsia="zh-CN"/>
              </w:rPr>
              <w:t>社有企业内部审计报告</w:t>
            </w:r>
          </w:p>
        </w:tc>
        <w:tc>
          <w:tcPr>
            <w:tcW w:w="2066" w:type="pct"/>
            <w:vAlign w:val="center"/>
          </w:tcPr>
          <w:p w14:paraId="77D78D6B">
            <w:pPr>
              <w:pStyle w:val="32"/>
              <w:jc w:val="center"/>
              <w:rPr>
                <w:rFonts w:hint="eastAsia"/>
                <w:sz w:val="21"/>
                <w:szCs w:val="21"/>
                <w:lang w:eastAsia="zh-CN"/>
              </w:rPr>
            </w:pPr>
            <w:r>
              <w:rPr>
                <w:rFonts w:hint="eastAsia"/>
                <w:sz w:val="21"/>
                <w:szCs w:val="21"/>
                <w:lang w:eastAsia="zh-CN"/>
              </w:rPr>
              <w:t>对社有企业根据自身实际开展的内部审计形成的审计报告及相关材料进行备案。</w:t>
            </w:r>
          </w:p>
        </w:tc>
        <w:tc>
          <w:tcPr>
            <w:tcW w:w="457" w:type="pct"/>
            <w:vAlign w:val="center"/>
          </w:tcPr>
          <w:p w14:paraId="06CA46EC">
            <w:pPr>
              <w:pStyle w:val="32"/>
              <w:jc w:val="center"/>
              <w:rPr>
                <w:rFonts w:hint="eastAsia"/>
                <w:sz w:val="21"/>
                <w:szCs w:val="21"/>
              </w:rPr>
            </w:pPr>
            <w:r>
              <w:rPr>
                <w:rFonts w:hint="eastAsia"/>
                <w:sz w:val="21"/>
                <w:szCs w:val="21"/>
                <w:lang w:eastAsia="zh-CN"/>
              </w:rPr>
              <w:t>资产经营管理科</w:t>
            </w:r>
          </w:p>
        </w:tc>
        <w:tc>
          <w:tcPr>
            <w:tcW w:w="1020" w:type="pct"/>
            <w:vAlign w:val="center"/>
          </w:tcPr>
          <w:p w14:paraId="62675551">
            <w:pPr>
              <w:pStyle w:val="32"/>
              <w:jc w:val="center"/>
              <w:rPr>
                <w:rFonts w:hint="default"/>
                <w:sz w:val="21"/>
                <w:szCs w:val="21"/>
                <w:lang w:val="en-US" w:eastAsia="zh-CN"/>
              </w:rPr>
            </w:pPr>
            <w:r>
              <w:rPr>
                <w:rFonts w:hint="eastAsia"/>
                <w:sz w:val="21"/>
                <w:szCs w:val="21"/>
                <w:lang w:val="en-US" w:eastAsia="zh-CN"/>
              </w:rPr>
              <w:t>--</w:t>
            </w:r>
          </w:p>
        </w:tc>
      </w:tr>
      <w:tr w14:paraId="2A9E6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34FC5EA2">
            <w:pPr>
              <w:jc w:val="center"/>
              <w:rPr>
                <w:rFonts w:hint="eastAsia" w:ascii="宋体" w:hAnsi="宋体" w:eastAsia="宋体" w:cs="宋体"/>
                <w:b/>
                <w:bCs/>
              </w:rPr>
            </w:pPr>
          </w:p>
        </w:tc>
        <w:tc>
          <w:tcPr>
            <w:tcW w:w="187" w:type="pct"/>
            <w:tcBorders>
              <w:top w:val="single" w:color="auto" w:sz="4" w:space="0"/>
              <w:left w:val="single" w:color="auto" w:sz="4" w:space="0"/>
              <w:bottom w:val="single" w:color="auto" w:sz="4" w:space="0"/>
              <w:right w:val="single" w:color="auto" w:sz="4" w:space="0"/>
            </w:tcBorders>
            <w:vAlign w:val="center"/>
          </w:tcPr>
          <w:p w14:paraId="4B423648">
            <w:pPr>
              <w:pStyle w:val="32"/>
              <w:jc w:val="center"/>
              <w:rPr>
                <w:rFonts w:hint="eastAsia"/>
                <w:sz w:val="21"/>
                <w:szCs w:val="21"/>
              </w:rPr>
            </w:pPr>
            <w:r>
              <w:rPr>
                <w:rFonts w:hint="eastAsia"/>
                <w:sz w:val="21"/>
                <w:szCs w:val="21"/>
              </w:rPr>
              <w:t>6</w:t>
            </w:r>
          </w:p>
        </w:tc>
        <w:tc>
          <w:tcPr>
            <w:tcW w:w="885" w:type="pct"/>
            <w:tcBorders>
              <w:left w:val="single" w:color="auto" w:sz="4" w:space="0"/>
            </w:tcBorders>
            <w:vAlign w:val="center"/>
          </w:tcPr>
          <w:p w14:paraId="5246592E">
            <w:pPr>
              <w:pStyle w:val="32"/>
              <w:jc w:val="center"/>
              <w:rPr>
                <w:rFonts w:hint="eastAsia"/>
                <w:spacing w:val="-1"/>
                <w:sz w:val="21"/>
                <w:szCs w:val="21"/>
                <w:lang w:eastAsia="zh-CN"/>
              </w:rPr>
            </w:pPr>
            <w:r>
              <w:rPr>
                <w:rFonts w:hint="eastAsia"/>
                <w:spacing w:val="-1"/>
                <w:sz w:val="21"/>
                <w:szCs w:val="21"/>
                <w:lang w:eastAsia="zh-CN"/>
              </w:rPr>
              <w:t>法律、审计等中介机构的聘用或解聘</w:t>
            </w:r>
          </w:p>
        </w:tc>
        <w:tc>
          <w:tcPr>
            <w:tcW w:w="2066" w:type="pct"/>
            <w:vAlign w:val="center"/>
          </w:tcPr>
          <w:p w14:paraId="7F47F6D2">
            <w:pPr>
              <w:pStyle w:val="32"/>
              <w:ind w:right="398"/>
              <w:jc w:val="center"/>
              <w:rPr>
                <w:rFonts w:hint="eastAsia"/>
                <w:sz w:val="21"/>
                <w:szCs w:val="21"/>
                <w:lang w:eastAsia="zh-CN"/>
              </w:rPr>
            </w:pPr>
            <w:r>
              <w:rPr>
                <w:rFonts w:hint="eastAsia"/>
                <w:sz w:val="21"/>
                <w:szCs w:val="21"/>
                <w:lang w:eastAsia="zh-CN"/>
              </w:rPr>
              <w:t>对社有企业根据工作需要聘用或解聘法律顾问、审计中介等外部机构</w:t>
            </w:r>
            <w:r>
              <w:rPr>
                <w:rFonts w:hint="eastAsia"/>
                <w:spacing w:val="-1"/>
                <w:sz w:val="21"/>
                <w:szCs w:val="21"/>
                <w:lang w:eastAsia="zh-CN"/>
              </w:rPr>
              <w:t>或个人的相关手续</w:t>
            </w:r>
            <w:r>
              <w:rPr>
                <w:rFonts w:hint="eastAsia"/>
                <w:sz w:val="21"/>
                <w:szCs w:val="21"/>
                <w:lang w:eastAsia="zh-CN"/>
              </w:rPr>
              <w:t>、协议等材料进行备案。</w:t>
            </w:r>
          </w:p>
        </w:tc>
        <w:tc>
          <w:tcPr>
            <w:tcW w:w="457" w:type="pct"/>
            <w:vAlign w:val="center"/>
          </w:tcPr>
          <w:p w14:paraId="3D597765">
            <w:pPr>
              <w:pStyle w:val="32"/>
              <w:jc w:val="center"/>
              <w:rPr>
                <w:rFonts w:hint="eastAsia"/>
                <w:sz w:val="21"/>
                <w:szCs w:val="21"/>
                <w:lang w:eastAsia="zh-CN"/>
              </w:rPr>
            </w:pPr>
            <w:r>
              <w:rPr>
                <w:rFonts w:hint="eastAsia"/>
                <w:sz w:val="21"/>
                <w:szCs w:val="21"/>
                <w:lang w:eastAsia="zh-CN"/>
              </w:rPr>
              <w:t>资产经营管理科</w:t>
            </w:r>
          </w:p>
        </w:tc>
        <w:tc>
          <w:tcPr>
            <w:tcW w:w="1020" w:type="pct"/>
            <w:vAlign w:val="center"/>
          </w:tcPr>
          <w:p w14:paraId="79972A0D">
            <w:pPr>
              <w:pStyle w:val="32"/>
              <w:jc w:val="center"/>
              <w:rPr>
                <w:rFonts w:hint="eastAsia"/>
                <w:sz w:val="21"/>
                <w:szCs w:val="21"/>
                <w:lang w:eastAsia="zh-CN"/>
              </w:rPr>
            </w:pPr>
            <w:r>
              <w:rPr>
                <w:rFonts w:hint="eastAsia"/>
                <w:sz w:val="21"/>
                <w:szCs w:val="21"/>
                <w:lang w:eastAsia="zh-CN"/>
              </w:rPr>
              <w:t>---</w:t>
            </w:r>
          </w:p>
        </w:tc>
      </w:tr>
      <w:tr w14:paraId="2C2A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382" w:type="pct"/>
            <w:vMerge w:val="continue"/>
            <w:tcBorders>
              <w:top w:val="single" w:color="auto" w:sz="4" w:space="0"/>
              <w:left w:val="single" w:color="auto" w:sz="4" w:space="0"/>
              <w:bottom w:val="single" w:color="auto" w:sz="4" w:space="0"/>
              <w:right w:val="single" w:color="auto" w:sz="4" w:space="0"/>
            </w:tcBorders>
            <w:vAlign w:val="center"/>
          </w:tcPr>
          <w:p w14:paraId="2DBD6B6E">
            <w:pPr>
              <w:jc w:val="center"/>
              <w:rPr>
                <w:rFonts w:hint="eastAsia" w:ascii="宋体" w:hAnsi="宋体" w:eastAsia="宋体" w:cs="宋体"/>
                <w:b/>
                <w:bCs/>
              </w:rPr>
            </w:pPr>
          </w:p>
        </w:tc>
        <w:tc>
          <w:tcPr>
            <w:tcW w:w="187" w:type="pct"/>
            <w:tcBorders>
              <w:top w:val="single" w:color="auto" w:sz="4" w:space="0"/>
              <w:left w:val="single" w:color="auto" w:sz="4" w:space="0"/>
              <w:bottom w:val="single" w:color="auto" w:sz="4" w:space="0"/>
              <w:right w:val="single" w:color="auto" w:sz="4" w:space="0"/>
            </w:tcBorders>
            <w:vAlign w:val="center"/>
          </w:tcPr>
          <w:p w14:paraId="0F2C40E7">
            <w:pPr>
              <w:pStyle w:val="32"/>
              <w:jc w:val="center"/>
              <w:rPr>
                <w:rFonts w:hint="eastAsia"/>
                <w:sz w:val="21"/>
                <w:szCs w:val="21"/>
              </w:rPr>
            </w:pPr>
            <w:r>
              <w:rPr>
                <w:rFonts w:hint="eastAsia"/>
                <w:sz w:val="21"/>
                <w:szCs w:val="21"/>
              </w:rPr>
              <w:t>7</w:t>
            </w:r>
          </w:p>
        </w:tc>
        <w:tc>
          <w:tcPr>
            <w:tcW w:w="885" w:type="pct"/>
            <w:tcBorders>
              <w:left w:val="single" w:color="auto" w:sz="4" w:space="0"/>
            </w:tcBorders>
            <w:vAlign w:val="center"/>
          </w:tcPr>
          <w:p w14:paraId="0A4DF9AC">
            <w:pPr>
              <w:pStyle w:val="32"/>
              <w:jc w:val="center"/>
              <w:rPr>
                <w:rFonts w:hint="eastAsia"/>
                <w:spacing w:val="-1"/>
                <w:sz w:val="21"/>
                <w:szCs w:val="21"/>
                <w:lang w:eastAsia="zh-CN"/>
              </w:rPr>
            </w:pPr>
            <w:r>
              <w:rPr>
                <w:rFonts w:hint="eastAsia"/>
                <w:spacing w:val="-5"/>
                <w:sz w:val="21"/>
                <w:szCs w:val="21"/>
                <w:lang w:eastAsia="zh-CN"/>
              </w:rPr>
              <w:t>社有企业使用“中国供销合作社”标识和与“辽</w:t>
            </w:r>
            <w:r>
              <w:rPr>
                <w:rFonts w:hint="eastAsia"/>
                <w:spacing w:val="-6"/>
                <w:sz w:val="21"/>
                <w:szCs w:val="21"/>
                <w:lang w:eastAsia="zh-CN"/>
              </w:rPr>
              <w:t>宁供销”、</w:t>
            </w:r>
            <w:r>
              <w:rPr>
                <w:rFonts w:hint="eastAsia"/>
                <w:spacing w:val="-5"/>
                <w:sz w:val="21"/>
                <w:szCs w:val="21"/>
                <w:lang w:eastAsia="zh-CN"/>
              </w:rPr>
              <w:t>“营口</w:t>
            </w:r>
            <w:r>
              <w:rPr>
                <w:rFonts w:hint="eastAsia"/>
                <w:spacing w:val="-6"/>
                <w:sz w:val="21"/>
                <w:szCs w:val="21"/>
                <w:lang w:eastAsia="zh-CN"/>
              </w:rPr>
              <w:t>供销”相</w:t>
            </w:r>
            <w:r>
              <w:rPr>
                <w:rFonts w:hint="eastAsia"/>
                <w:spacing w:val="-2"/>
                <w:sz w:val="21"/>
                <w:szCs w:val="21"/>
                <w:lang w:eastAsia="zh-CN"/>
              </w:rPr>
              <w:t>关的字样、品牌</w:t>
            </w:r>
          </w:p>
        </w:tc>
        <w:tc>
          <w:tcPr>
            <w:tcW w:w="2066" w:type="pct"/>
            <w:vAlign w:val="center"/>
          </w:tcPr>
          <w:p w14:paraId="4AC26167">
            <w:pPr>
              <w:pStyle w:val="32"/>
              <w:jc w:val="center"/>
              <w:rPr>
                <w:rFonts w:hint="eastAsia"/>
                <w:sz w:val="21"/>
                <w:szCs w:val="21"/>
                <w:lang w:eastAsia="zh-CN"/>
              </w:rPr>
            </w:pPr>
            <w:r>
              <w:rPr>
                <w:rFonts w:hint="eastAsia"/>
                <w:spacing w:val="-4"/>
                <w:sz w:val="21"/>
                <w:szCs w:val="21"/>
                <w:lang w:eastAsia="zh-CN"/>
              </w:rPr>
              <w:t>对社有企业使用“中国供销合作社”标识和与“辽宁供销”、</w:t>
            </w:r>
            <w:r>
              <w:rPr>
                <w:rFonts w:hint="eastAsia"/>
                <w:spacing w:val="-5"/>
                <w:sz w:val="21"/>
                <w:szCs w:val="21"/>
                <w:lang w:eastAsia="zh-CN"/>
              </w:rPr>
              <w:t>“营口</w:t>
            </w:r>
            <w:r>
              <w:rPr>
                <w:rFonts w:hint="eastAsia"/>
                <w:spacing w:val="-6"/>
                <w:sz w:val="21"/>
                <w:szCs w:val="21"/>
                <w:lang w:eastAsia="zh-CN"/>
              </w:rPr>
              <w:t>供销”</w:t>
            </w:r>
            <w:r>
              <w:rPr>
                <w:rFonts w:hint="eastAsia"/>
                <w:spacing w:val="-4"/>
                <w:sz w:val="21"/>
                <w:szCs w:val="21"/>
                <w:lang w:eastAsia="zh-CN"/>
              </w:rPr>
              <w:t>相关的字样、品牌等事项的材料进</w:t>
            </w:r>
            <w:r>
              <w:rPr>
                <w:rFonts w:hint="eastAsia"/>
                <w:spacing w:val="-1"/>
                <w:sz w:val="21"/>
                <w:szCs w:val="21"/>
                <w:lang w:eastAsia="zh-CN"/>
              </w:rPr>
              <w:t>行审核备案。</w:t>
            </w:r>
          </w:p>
        </w:tc>
        <w:tc>
          <w:tcPr>
            <w:tcW w:w="457" w:type="pct"/>
            <w:vAlign w:val="center"/>
          </w:tcPr>
          <w:p w14:paraId="68B83E6B">
            <w:pPr>
              <w:pStyle w:val="32"/>
              <w:jc w:val="center"/>
              <w:rPr>
                <w:rFonts w:hint="eastAsia"/>
                <w:sz w:val="21"/>
                <w:szCs w:val="21"/>
              </w:rPr>
            </w:pPr>
            <w:r>
              <w:rPr>
                <w:rFonts w:hint="eastAsia"/>
                <w:sz w:val="21"/>
                <w:szCs w:val="21"/>
                <w:lang w:eastAsia="zh-CN"/>
              </w:rPr>
              <w:t>资产经营管理科</w:t>
            </w:r>
          </w:p>
        </w:tc>
        <w:tc>
          <w:tcPr>
            <w:tcW w:w="1020" w:type="pct"/>
            <w:vAlign w:val="center"/>
          </w:tcPr>
          <w:p w14:paraId="0D6BB9A6">
            <w:pPr>
              <w:pStyle w:val="32"/>
              <w:jc w:val="center"/>
              <w:rPr>
                <w:rFonts w:hint="eastAsia"/>
                <w:sz w:val="21"/>
                <w:szCs w:val="21"/>
                <w:lang w:eastAsia="zh-CN"/>
              </w:rPr>
            </w:pPr>
            <w:r>
              <w:rPr>
                <w:rFonts w:hint="eastAsia"/>
                <w:sz w:val="21"/>
                <w:szCs w:val="21"/>
                <w:lang w:eastAsia="zh-CN"/>
              </w:rPr>
              <w:t>合作指导科</w:t>
            </w:r>
          </w:p>
        </w:tc>
      </w:tr>
      <w:tr w14:paraId="39BB9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5000" w:type="pct"/>
            <w:gridSpan w:val="6"/>
            <w:tcBorders>
              <w:top w:val="nil"/>
              <w:bottom w:val="single" w:color="auto" w:sz="4" w:space="0"/>
            </w:tcBorders>
            <w:vAlign w:val="center"/>
          </w:tcPr>
          <w:p w14:paraId="79F5E2CF">
            <w:pPr>
              <w:pStyle w:val="32"/>
              <w:ind w:left="15"/>
              <w:rPr>
                <w:rFonts w:hint="eastAsia"/>
                <w:b/>
                <w:bCs/>
                <w:spacing w:val="2"/>
                <w:sz w:val="21"/>
                <w:szCs w:val="21"/>
                <w:lang w:eastAsia="zh-CN"/>
              </w:rPr>
            </w:pPr>
            <w:r>
              <w:rPr>
                <w:rFonts w:hint="eastAsia"/>
                <w:b/>
                <w:bCs/>
                <w:sz w:val="21"/>
                <w:szCs w:val="21"/>
                <w:lang w:eastAsia="zh-CN"/>
              </w:rPr>
              <w:t>注：决定类的2、3项，批准类的1、2、5项，涉及出资企业及托管企业的相关事项需向市社备案。</w:t>
            </w:r>
          </w:p>
        </w:tc>
      </w:tr>
    </w:tbl>
    <w:p w14:paraId="21E62306">
      <w:pPr>
        <w:numPr>
          <w:ilvl w:val="0"/>
          <w:numId w:val="0"/>
        </w:numPr>
        <w:rPr>
          <w:rFonts w:hint="default" w:eastAsia="仿宋_GB2312" w:cs="Times New Roman"/>
          <w:sz w:val="32"/>
          <w:szCs w:val="32"/>
          <w:u w:val="none"/>
          <w:lang w:val="en-US" w:eastAsia="zh-CN"/>
        </w:rPr>
      </w:pPr>
    </w:p>
    <w:sectPr>
      <w:pgSz w:w="16838" w:h="11906" w:orient="landscape"/>
      <w:pgMar w:top="1417" w:right="1984" w:bottom="1417"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5F56C">
    <w:pPr>
      <w:pStyle w:val="11"/>
      <w:ind w:left="359" w:leftChars="171" w:firstLine="140" w:firstLineChars="50"/>
      <w:rPr>
        <w:rStyle w:val="2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1E70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71E704">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2C4C5CE1">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3C77">
    <w:pPr>
      <w:pStyle w:val="11"/>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1EE071">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D1EE071">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825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3E"/>
    <w:rsid w:val="000274A3"/>
    <w:rsid w:val="00037265"/>
    <w:rsid w:val="00044DB1"/>
    <w:rsid w:val="00082C6C"/>
    <w:rsid w:val="00090E16"/>
    <w:rsid w:val="000A3014"/>
    <w:rsid w:val="000A4A88"/>
    <w:rsid w:val="000A5DE5"/>
    <w:rsid w:val="000D440B"/>
    <w:rsid w:val="0012193E"/>
    <w:rsid w:val="0019293D"/>
    <w:rsid w:val="00195242"/>
    <w:rsid w:val="001A3B3F"/>
    <w:rsid w:val="001B0404"/>
    <w:rsid w:val="001D21D4"/>
    <w:rsid w:val="001F0AC1"/>
    <w:rsid w:val="001F45DB"/>
    <w:rsid w:val="00230782"/>
    <w:rsid w:val="00276646"/>
    <w:rsid w:val="00283148"/>
    <w:rsid w:val="0028793F"/>
    <w:rsid w:val="002C5D84"/>
    <w:rsid w:val="002D20CE"/>
    <w:rsid w:val="002F2186"/>
    <w:rsid w:val="002F3D24"/>
    <w:rsid w:val="0031713E"/>
    <w:rsid w:val="0032374A"/>
    <w:rsid w:val="00381523"/>
    <w:rsid w:val="003945EE"/>
    <w:rsid w:val="003E1805"/>
    <w:rsid w:val="003F0156"/>
    <w:rsid w:val="00427696"/>
    <w:rsid w:val="00460F1A"/>
    <w:rsid w:val="00466DCB"/>
    <w:rsid w:val="004D4FAA"/>
    <w:rsid w:val="00504E5E"/>
    <w:rsid w:val="00535F1A"/>
    <w:rsid w:val="00556B8F"/>
    <w:rsid w:val="00582DAC"/>
    <w:rsid w:val="00586D0B"/>
    <w:rsid w:val="00593A8B"/>
    <w:rsid w:val="005E42D1"/>
    <w:rsid w:val="00630CA7"/>
    <w:rsid w:val="00637688"/>
    <w:rsid w:val="00665258"/>
    <w:rsid w:val="006B1269"/>
    <w:rsid w:val="006F7961"/>
    <w:rsid w:val="00727F01"/>
    <w:rsid w:val="00736A88"/>
    <w:rsid w:val="0075289C"/>
    <w:rsid w:val="00770FB5"/>
    <w:rsid w:val="0078132A"/>
    <w:rsid w:val="008111EB"/>
    <w:rsid w:val="00891C05"/>
    <w:rsid w:val="008F26A2"/>
    <w:rsid w:val="009008CA"/>
    <w:rsid w:val="00921575"/>
    <w:rsid w:val="009405EB"/>
    <w:rsid w:val="009A16CD"/>
    <w:rsid w:val="009A4D3D"/>
    <w:rsid w:val="00A93167"/>
    <w:rsid w:val="00AF7FB1"/>
    <w:rsid w:val="00B3745C"/>
    <w:rsid w:val="00B434A6"/>
    <w:rsid w:val="00B4397C"/>
    <w:rsid w:val="00B54104"/>
    <w:rsid w:val="00B65887"/>
    <w:rsid w:val="00BE2974"/>
    <w:rsid w:val="00C02B93"/>
    <w:rsid w:val="00C52D73"/>
    <w:rsid w:val="00C609F4"/>
    <w:rsid w:val="00C716EA"/>
    <w:rsid w:val="00CB60EF"/>
    <w:rsid w:val="00CC4B3D"/>
    <w:rsid w:val="00D32788"/>
    <w:rsid w:val="00D634DB"/>
    <w:rsid w:val="00DA379C"/>
    <w:rsid w:val="00DF4A4B"/>
    <w:rsid w:val="00E3528A"/>
    <w:rsid w:val="00E43904"/>
    <w:rsid w:val="00E833B1"/>
    <w:rsid w:val="00EA5DB1"/>
    <w:rsid w:val="00ED758F"/>
    <w:rsid w:val="00F17305"/>
    <w:rsid w:val="00FE665E"/>
    <w:rsid w:val="014C29A7"/>
    <w:rsid w:val="029D0325"/>
    <w:rsid w:val="02FC0675"/>
    <w:rsid w:val="033A4A8F"/>
    <w:rsid w:val="03F02DE3"/>
    <w:rsid w:val="042848E6"/>
    <w:rsid w:val="06487C9D"/>
    <w:rsid w:val="06624F6F"/>
    <w:rsid w:val="06C65A36"/>
    <w:rsid w:val="071E73FE"/>
    <w:rsid w:val="073113D9"/>
    <w:rsid w:val="07FBE7DE"/>
    <w:rsid w:val="087D38B8"/>
    <w:rsid w:val="0A1C5597"/>
    <w:rsid w:val="0A341F3B"/>
    <w:rsid w:val="0C1E1026"/>
    <w:rsid w:val="0C1E534E"/>
    <w:rsid w:val="0C396F7F"/>
    <w:rsid w:val="0C8A2C23"/>
    <w:rsid w:val="0D484824"/>
    <w:rsid w:val="0EF9131A"/>
    <w:rsid w:val="0FF814F8"/>
    <w:rsid w:val="10D515D7"/>
    <w:rsid w:val="10EF1C5A"/>
    <w:rsid w:val="11631979"/>
    <w:rsid w:val="134E64D7"/>
    <w:rsid w:val="135461A2"/>
    <w:rsid w:val="13871C6A"/>
    <w:rsid w:val="14E513C0"/>
    <w:rsid w:val="15001ED4"/>
    <w:rsid w:val="152B28FF"/>
    <w:rsid w:val="16001391"/>
    <w:rsid w:val="16E64B90"/>
    <w:rsid w:val="17C41E6F"/>
    <w:rsid w:val="181F306F"/>
    <w:rsid w:val="18F67BC9"/>
    <w:rsid w:val="19397206"/>
    <w:rsid w:val="19C74DC1"/>
    <w:rsid w:val="1B1D35D4"/>
    <w:rsid w:val="1D7C6C17"/>
    <w:rsid w:val="1DF0284D"/>
    <w:rsid w:val="1EA90430"/>
    <w:rsid w:val="1F0D70C2"/>
    <w:rsid w:val="1FA01DE7"/>
    <w:rsid w:val="20393FEE"/>
    <w:rsid w:val="204861C9"/>
    <w:rsid w:val="20684AC9"/>
    <w:rsid w:val="22336EBE"/>
    <w:rsid w:val="231150AD"/>
    <w:rsid w:val="25664C67"/>
    <w:rsid w:val="26495764"/>
    <w:rsid w:val="26FD5FAE"/>
    <w:rsid w:val="277A694F"/>
    <w:rsid w:val="28E0640B"/>
    <w:rsid w:val="2A1A534A"/>
    <w:rsid w:val="2ABB7822"/>
    <w:rsid w:val="2C3C088A"/>
    <w:rsid w:val="2C696535"/>
    <w:rsid w:val="2E2F2488"/>
    <w:rsid w:val="2EF27FB4"/>
    <w:rsid w:val="30071604"/>
    <w:rsid w:val="30201FCE"/>
    <w:rsid w:val="305E51D0"/>
    <w:rsid w:val="3064091E"/>
    <w:rsid w:val="30A91911"/>
    <w:rsid w:val="30C97172"/>
    <w:rsid w:val="31EC0D21"/>
    <w:rsid w:val="32130839"/>
    <w:rsid w:val="329115FD"/>
    <w:rsid w:val="33965B86"/>
    <w:rsid w:val="33D62ABE"/>
    <w:rsid w:val="3432763B"/>
    <w:rsid w:val="34403E5F"/>
    <w:rsid w:val="37E6769C"/>
    <w:rsid w:val="38015DF5"/>
    <w:rsid w:val="3CCA789A"/>
    <w:rsid w:val="3D44492E"/>
    <w:rsid w:val="3D4D3E0F"/>
    <w:rsid w:val="3D751DE4"/>
    <w:rsid w:val="3E6204A4"/>
    <w:rsid w:val="3E6E233C"/>
    <w:rsid w:val="3EB30D59"/>
    <w:rsid w:val="3F104EFC"/>
    <w:rsid w:val="3F5F2F49"/>
    <w:rsid w:val="3FD63B9D"/>
    <w:rsid w:val="3FFD1431"/>
    <w:rsid w:val="412D0B50"/>
    <w:rsid w:val="41E0031E"/>
    <w:rsid w:val="42193E62"/>
    <w:rsid w:val="424B788B"/>
    <w:rsid w:val="42BC6357"/>
    <w:rsid w:val="449062BF"/>
    <w:rsid w:val="4514180A"/>
    <w:rsid w:val="453A1148"/>
    <w:rsid w:val="473B7FD7"/>
    <w:rsid w:val="473E4EF3"/>
    <w:rsid w:val="47EC74DF"/>
    <w:rsid w:val="484004C4"/>
    <w:rsid w:val="48CF77F5"/>
    <w:rsid w:val="48EC247D"/>
    <w:rsid w:val="495B7C4E"/>
    <w:rsid w:val="4CBDD41B"/>
    <w:rsid w:val="4D37294E"/>
    <w:rsid w:val="4DE70A62"/>
    <w:rsid w:val="4E6022CF"/>
    <w:rsid w:val="4ECD7D1F"/>
    <w:rsid w:val="4F0E581E"/>
    <w:rsid w:val="4F5C52CF"/>
    <w:rsid w:val="4F6D3CA5"/>
    <w:rsid w:val="4FA84345"/>
    <w:rsid w:val="50116551"/>
    <w:rsid w:val="507A670F"/>
    <w:rsid w:val="509C2430"/>
    <w:rsid w:val="515C13A7"/>
    <w:rsid w:val="51A33B4C"/>
    <w:rsid w:val="52443564"/>
    <w:rsid w:val="526E70F1"/>
    <w:rsid w:val="52B63B57"/>
    <w:rsid w:val="581A34CE"/>
    <w:rsid w:val="58B4153E"/>
    <w:rsid w:val="593C6B82"/>
    <w:rsid w:val="59BE14BA"/>
    <w:rsid w:val="5A067503"/>
    <w:rsid w:val="5A321680"/>
    <w:rsid w:val="5B1E2376"/>
    <w:rsid w:val="5B783B6D"/>
    <w:rsid w:val="5BBB5452"/>
    <w:rsid w:val="5C064B2B"/>
    <w:rsid w:val="5EAC5EC6"/>
    <w:rsid w:val="5FF23595"/>
    <w:rsid w:val="602A153E"/>
    <w:rsid w:val="62021172"/>
    <w:rsid w:val="62263AD7"/>
    <w:rsid w:val="62FE342A"/>
    <w:rsid w:val="6410215E"/>
    <w:rsid w:val="64336E13"/>
    <w:rsid w:val="65003674"/>
    <w:rsid w:val="65545293"/>
    <w:rsid w:val="66B948B3"/>
    <w:rsid w:val="66EDF5AF"/>
    <w:rsid w:val="677D63AA"/>
    <w:rsid w:val="6788057B"/>
    <w:rsid w:val="68AF4D65"/>
    <w:rsid w:val="69175216"/>
    <w:rsid w:val="697D1EF0"/>
    <w:rsid w:val="6A372007"/>
    <w:rsid w:val="6A6946B0"/>
    <w:rsid w:val="6BE58BD4"/>
    <w:rsid w:val="6C245C3A"/>
    <w:rsid w:val="6C4336CC"/>
    <w:rsid w:val="6D04436E"/>
    <w:rsid w:val="6D1C15E2"/>
    <w:rsid w:val="6D4B1F5D"/>
    <w:rsid w:val="6D5037F6"/>
    <w:rsid w:val="6D6E1784"/>
    <w:rsid w:val="6E3C26AA"/>
    <w:rsid w:val="6E4C4B53"/>
    <w:rsid w:val="6FAB5FD7"/>
    <w:rsid w:val="6FE11893"/>
    <w:rsid w:val="70184779"/>
    <w:rsid w:val="703A7AD4"/>
    <w:rsid w:val="71444528"/>
    <w:rsid w:val="716114FC"/>
    <w:rsid w:val="730D5D0B"/>
    <w:rsid w:val="741F41AD"/>
    <w:rsid w:val="750D6DD7"/>
    <w:rsid w:val="753A1793"/>
    <w:rsid w:val="75B124CA"/>
    <w:rsid w:val="7659351E"/>
    <w:rsid w:val="76745A42"/>
    <w:rsid w:val="774439D7"/>
    <w:rsid w:val="787B0961"/>
    <w:rsid w:val="787C0931"/>
    <w:rsid w:val="78E04F6D"/>
    <w:rsid w:val="794B2E8D"/>
    <w:rsid w:val="7ABD2CC5"/>
    <w:rsid w:val="7ACE5ED5"/>
    <w:rsid w:val="7AE75C03"/>
    <w:rsid w:val="7B1228E5"/>
    <w:rsid w:val="7BAA3C33"/>
    <w:rsid w:val="7C547DD7"/>
    <w:rsid w:val="7C9B6810"/>
    <w:rsid w:val="7D1626E4"/>
    <w:rsid w:val="7DC41EC9"/>
    <w:rsid w:val="7E431733"/>
    <w:rsid w:val="7EBB6ECC"/>
    <w:rsid w:val="7FEB9F32"/>
    <w:rsid w:val="82BF13D9"/>
    <w:rsid w:val="89EF0741"/>
    <w:rsid w:val="BE7FE067"/>
    <w:rsid w:val="EFFFE678"/>
    <w:rsid w:val="F9FE9571"/>
    <w:rsid w:val="FD1C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大标宋简体"/>
      <w:b/>
      <w:kern w:val="44"/>
      <w:sz w:val="44"/>
    </w:rPr>
  </w:style>
  <w:style w:type="paragraph" w:styleId="3">
    <w:name w:val="heading 2"/>
    <w:basedOn w:val="1"/>
    <w:next w:val="1"/>
    <w:qFormat/>
    <w:uiPriority w:val="0"/>
    <w:pPr>
      <w:keepNext/>
      <w:keepLines/>
      <w:spacing w:before="260" w:after="260" w:line="415" w:lineRule="auto"/>
      <w:outlineLvl w:val="1"/>
    </w:pPr>
    <w:rPr>
      <w:rFonts w:ascii="Calibri Light" w:hAnsi="Calibri Light"/>
      <w:b/>
      <w:bCs/>
      <w:sz w:val="32"/>
      <w:szCs w:val="32"/>
    </w:rPr>
  </w:style>
  <w:style w:type="paragraph" w:styleId="4">
    <w:name w:val="heading 3"/>
    <w:basedOn w:val="1"/>
    <w:next w:val="1"/>
    <w:link w:val="31"/>
    <w:unhideWhenUsed/>
    <w:qFormat/>
    <w:uiPriority w:val="0"/>
    <w:pPr>
      <w:outlineLvl w:val="2"/>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style>
  <w:style w:type="paragraph" w:styleId="6">
    <w:name w:val="Body Text"/>
    <w:basedOn w:val="1"/>
    <w:qFormat/>
    <w:uiPriority w:val="0"/>
    <w:rPr>
      <w:rFonts w:ascii="仿宋_GB2312" w:eastAsia="仿宋_GB2312"/>
      <w:sz w:val="32"/>
    </w:rPr>
  </w:style>
  <w:style w:type="paragraph" w:styleId="7">
    <w:name w:val="Body Text Indent"/>
    <w:basedOn w:val="1"/>
    <w:next w:val="5"/>
    <w:qFormat/>
    <w:uiPriority w:val="0"/>
    <w:pPr>
      <w:spacing w:after="120"/>
      <w:ind w:left="200" w:leftChars="200"/>
    </w:pPr>
  </w:style>
  <w:style w:type="paragraph" w:styleId="8">
    <w:name w:val="HTML Address"/>
    <w:basedOn w:val="1"/>
    <w:unhideWhenUsed/>
    <w:qFormat/>
    <w:uiPriority w:val="99"/>
    <w:rPr>
      <w:i/>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qFormat/>
    <w:uiPriority w:val="0"/>
    <w:pPr>
      <w:snapToGrid w:val="0"/>
      <w:jc w:val="left"/>
    </w:pPr>
    <w:rPr>
      <w:sz w:val="18"/>
      <w:szCs w:val="18"/>
    </w:rPr>
  </w:style>
  <w:style w:type="paragraph" w:styleId="1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hint="eastAsia" w:ascii="宋体" w:hAnsi="宋体" w:eastAsia="宋体" w:cs="Times New Roman"/>
      <w:sz w:val="24"/>
      <w:szCs w:val="24"/>
      <w:lang w:val="en-US" w:eastAsia="zh-CN" w:bidi="ar-SA"/>
    </w:rPr>
  </w:style>
  <w:style w:type="paragraph" w:styleId="15">
    <w:name w:val="Normal (Web)"/>
    <w:basedOn w:val="1"/>
    <w:unhideWhenUsed/>
    <w:qFormat/>
    <w:uiPriority w:val="99"/>
    <w:pPr>
      <w:jc w:val="left"/>
    </w:pPr>
    <w:rPr>
      <w:kern w:val="0"/>
      <w:sz w:val="24"/>
    </w:rPr>
  </w:style>
  <w:style w:type="paragraph" w:styleId="16">
    <w:name w:val="Body Text First Indent 2"/>
    <w:basedOn w:val="7"/>
    <w:next w:val="1"/>
    <w:qFormat/>
    <w:uiPriority w:val="0"/>
    <w:pPr>
      <w:spacing w:after="120" w:line="600" w:lineRule="exact"/>
      <w:ind w:left="420" w:leftChars="200" w:firstLine="420" w:firstLineChars="200"/>
    </w:pPr>
    <w:rPr>
      <w:rFonts w:ascii="Arial" w:hAnsi="Arial" w:eastAsia="宋体" w:cs="Times New Roman"/>
      <w:sz w:val="3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customStyle="1" w:styleId="21">
    <w:name w:val="apple-converted-space"/>
    <w:basedOn w:val="19"/>
    <w:qFormat/>
    <w:uiPriority w:val="0"/>
  </w:style>
  <w:style w:type="paragraph" w:customStyle="1" w:styleId="22">
    <w:name w:val="正文文本缩进1"/>
    <w:qFormat/>
    <w:uiPriority w:val="0"/>
    <w:pPr>
      <w:widowControl w:val="0"/>
      <w:ind w:left="420" w:leftChars="200"/>
      <w:jc w:val="both"/>
    </w:pPr>
    <w:rPr>
      <w:rFonts w:ascii="Calibri" w:hAnsi="Calibri" w:eastAsia="宋体" w:cs="Times New Roman"/>
      <w:kern w:val="2"/>
      <w:sz w:val="21"/>
      <w:szCs w:val="24"/>
      <w:lang w:val="en-US" w:eastAsia="zh-CN" w:bidi="ar-SA"/>
    </w:rPr>
  </w:style>
  <w:style w:type="character" w:customStyle="1" w:styleId="23">
    <w:name w:val="NormalCharacter"/>
    <w:semiHidden/>
    <w:qFormat/>
    <w:uiPriority w:val="0"/>
  </w:style>
  <w:style w:type="paragraph" w:customStyle="1" w:styleId="24">
    <w:name w:val="BodyText"/>
    <w:qFormat/>
    <w:uiPriority w:val="0"/>
    <w:pPr>
      <w:spacing w:after="120"/>
      <w:jc w:val="both"/>
      <w:textAlignment w:val="baseline"/>
    </w:pPr>
    <w:rPr>
      <w:rFonts w:ascii="Times New Roman" w:hAnsi="Times New Roman" w:eastAsia="宋体" w:cs="Times New Roman"/>
      <w:kern w:val="2"/>
      <w:sz w:val="21"/>
      <w:szCs w:val="24"/>
      <w:lang w:val="zh-CN"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Heading2"/>
    <w:next w:val="1"/>
    <w:qFormat/>
    <w:locked/>
    <w:uiPriority w:val="0"/>
    <w:pPr>
      <w:keepNext/>
      <w:keepLines/>
      <w:spacing w:before="260" w:after="260" w:line="416" w:lineRule="auto"/>
      <w:jc w:val="both"/>
      <w:textAlignment w:val="baseline"/>
    </w:pPr>
    <w:rPr>
      <w:rFonts w:ascii="Calibri Light" w:hAnsi="Calibri Light" w:eastAsia="宋体" w:cs="Times New Roman"/>
      <w:b/>
      <w:bCs/>
      <w:kern w:val="2"/>
      <w:sz w:val="32"/>
      <w:szCs w:val="32"/>
      <w:lang w:val="en-US" w:eastAsia="zh-CN" w:bidi="ar-SA"/>
    </w:rPr>
  </w:style>
  <w:style w:type="paragraph" w:customStyle="1" w:styleId="28">
    <w:name w:val="Heading1"/>
    <w:next w:val="1"/>
    <w:qFormat/>
    <w:locked/>
    <w:uiPriority w:val="0"/>
    <w:pPr>
      <w:spacing w:before="100" w:beforeAutospacing="1" w:after="100" w:afterAutospacing="1"/>
      <w:textAlignment w:val="baseline"/>
    </w:pPr>
    <w:rPr>
      <w:rFonts w:ascii="宋体" w:hAnsi="宋体" w:eastAsia="宋体" w:cs="Times New Roman"/>
      <w:b/>
      <w:kern w:val="44"/>
      <w:sz w:val="48"/>
      <w:szCs w:val="48"/>
      <w:lang w:val="en-US" w:eastAsia="zh-CN" w:bidi="ar-SA"/>
    </w:rPr>
  </w:style>
  <w:style w:type="paragraph" w:customStyle="1" w:styleId="29">
    <w:name w:val="BodyTextIndent"/>
    <w:qFormat/>
    <w:uiPriority w:val="0"/>
    <w:pPr>
      <w:spacing w:after="120"/>
      <w:ind w:left="420" w:leftChars="200"/>
      <w:jc w:val="both"/>
      <w:textAlignment w:val="baseline"/>
    </w:pPr>
    <w:rPr>
      <w:rFonts w:ascii="Calibri" w:hAnsi="Calibri" w:eastAsia="宋体" w:cs="Times New Roman"/>
      <w:kern w:val="2"/>
      <w:sz w:val="21"/>
      <w:szCs w:val="22"/>
      <w:lang w:val="en-US" w:eastAsia="zh-CN" w:bidi="ar-SA"/>
    </w:rPr>
  </w:style>
  <w:style w:type="character" w:customStyle="1" w:styleId="30">
    <w:name w:val="PageNumber"/>
    <w:qFormat/>
    <w:uiPriority w:val="0"/>
  </w:style>
  <w:style w:type="character" w:customStyle="1" w:styleId="31">
    <w:name w:val="标题 3 Char"/>
    <w:link w:val="4"/>
    <w:qFormat/>
    <w:uiPriority w:val="0"/>
    <w:rPr>
      <w:b/>
    </w:rPr>
  </w:style>
  <w:style w:type="paragraph" w:customStyle="1" w:styleId="32">
    <w:name w:val="Table Text"/>
    <w:basedOn w:val="1"/>
    <w:autoRedefine/>
    <w:qFormat/>
    <w:uiPriority w:val="0"/>
    <w:rPr>
      <w:rFonts w:ascii="宋体" w:hAnsi="宋体" w:eastAsia="宋体" w:cs="宋体"/>
      <w:sz w:val="19"/>
      <w:szCs w:val="19"/>
    </w:rPr>
  </w:style>
  <w:style w:type="table" w:customStyle="1" w:styleId="33">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1936</Words>
  <Characters>1959</Characters>
  <Lines>2</Lines>
  <Paragraphs>9</Paragraphs>
  <TotalTime>19</TotalTime>
  <ScaleCrop>false</ScaleCrop>
  <LinksUpToDate>false</LinksUpToDate>
  <CharactersWithSpaces>2039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2016-01-05T17:25:00Z</dcterms:created>
  <dc:creator>微软用户</dc:creator>
  <cp:lastModifiedBy>小心</cp:lastModifiedBy>
  <cp:lastPrinted>2026-01-05T01:23:00Z</cp:lastPrinted>
  <dcterms:modified xsi:type="dcterms:W3CDTF">2026-01-15T00:56:10Z</dcterms:modified>
  <dc:title>关于对市社资产管理办公室成员调整、</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B1E5FFEDFB7F4A918E607E6AEC495285_13</vt:lpwstr>
  </property>
  <property fmtid="{D5CDD505-2E9C-101B-9397-08002B2CF9AE}" pid="4" name="KSOTemplateDocerSaveRecord">
    <vt:lpwstr>eyJoZGlkIjoiMGE1YmUzNDhlMGJkZTU0ODc0MzFhNGNmN2JmNGRiOTUiLCJ1c2VySWQiOiIxMjcxODM4NzI5In0=</vt:lpwstr>
  </property>
</Properties>
</file>